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36"/>
          <w:szCs w:val="36"/>
          <w:u w:val="single"/>
          <w:lang w:val="en-US" w:eastAsia="zh-CN"/>
        </w:rPr>
        <w:t>超声波清洗机</w:t>
      </w:r>
      <w:bookmarkStart w:id="1" w:name="_GoBack"/>
      <w:bookmarkEnd w:id="1"/>
      <w:r>
        <w:rPr>
          <w:rFonts w:hint="eastAsia" w:ascii="方正小标宋简体" w:hAnsi="方正小标宋简体" w:eastAsia="方正小标宋简体" w:cs="方正小标宋简体"/>
          <w:sz w:val="36"/>
          <w:szCs w:val="36"/>
          <w:u w:val="single"/>
          <w:lang w:val="en-US" w:eastAsia="zh-CN"/>
        </w:rPr>
        <w:t xml:space="preserve"> </w:t>
      </w:r>
      <w:r>
        <w:rPr>
          <w:rFonts w:hint="eastAsia" w:ascii="方正小标宋简体" w:hAnsi="方正小标宋简体" w:eastAsia="方正小标宋简体" w:cs="方正小标宋简体"/>
          <w:sz w:val="36"/>
          <w:szCs w:val="36"/>
          <w:lang w:val="en-US" w:eastAsia="zh-CN"/>
        </w:rPr>
        <w:t>技术参数</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1、总工作时间:1-999min</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2、仪器的内外壳体和降音盖采用优质不锈钢。</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3、仪器的操作程序采用单片机软件。</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★4、有工作参数断电记忆功能。</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5、配有专用不锈钢网篮、降音盖。</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★6、内槽尺寸:300x240x200mm</w:t>
      </w:r>
      <w:r>
        <w:rPr>
          <w:rFonts w:hint="eastAsia" w:ascii="仿宋_GB2312" w:hAnsi="仿宋_GB2312" w:eastAsia="仿宋_GB2312" w:cs="仿宋_GB2312"/>
          <w:sz w:val="28"/>
          <w:szCs w:val="36"/>
          <w:lang w:val="en-US" w:eastAsia="zh-CN"/>
        </w:rPr>
        <w:t>±10%</w:t>
      </w:r>
      <w:r>
        <w:rPr>
          <w:rFonts w:hint="eastAsia" w:ascii="仿宋_GB2312" w:hAnsi="仿宋_GB2312" w:eastAsia="仿宋_GB2312" w:cs="仿宋_GB2312"/>
          <w:sz w:val="28"/>
          <w:szCs w:val="36"/>
        </w:rPr>
        <w:t>(长x宽x高)</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★7、容量:</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14.4L</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★8、频率:</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40KHz，功率</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480W</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9、排水功能:有</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10、工作时间倒计时显色</w:t>
      </w:r>
    </w:p>
    <w:p>
      <w:pPr>
        <w:wordWrap w:val="0"/>
        <w:jc w:val="both"/>
        <w:rPr>
          <w:rFonts w:hint="eastAsia" w:ascii="仿宋_GB2312" w:hAnsi="仿宋_GB2312" w:eastAsia="仿宋_GB2312" w:cs="仿宋_GB2312"/>
          <w:sz w:val="28"/>
          <w:szCs w:val="36"/>
          <w:lang w:eastAsia="zh-CN"/>
        </w:rPr>
      </w:pPr>
      <w:bookmarkStart w:id="0" w:name="OLE_LINK1"/>
      <w:r>
        <w:rPr>
          <w:rFonts w:hint="eastAsia" w:ascii="仿宋_GB2312" w:hAnsi="仿宋_GB2312" w:eastAsia="仿宋_GB2312" w:cs="仿宋_GB2312"/>
          <w:sz w:val="28"/>
          <w:szCs w:val="36"/>
        </w:rPr>
        <w:t>供应商每有一条</w:t>
      </w:r>
      <w:r>
        <w:rPr>
          <w:rFonts w:hint="eastAsia" w:ascii="仿宋_GB2312" w:hAnsi="仿宋_GB2312" w:eastAsia="仿宋_GB2312" w:cs="仿宋_GB2312"/>
          <w:sz w:val="28"/>
          <w:szCs w:val="36"/>
          <w:lang w:val="en-US" w:eastAsia="zh-CN"/>
        </w:rPr>
        <w:t>重要</w:t>
      </w:r>
      <w:r>
        <w:rPr>
          <w:rFonts w:hint="eastAsia" w:ascii="仿宋_GB2312" w:hAnsi="仿宋_GB2312" w:eastAsia="仿宋_GB2312" w:cs="仿宋_GB2312"/>
          <w:sz w:val="28"/>
          <w:szCs w:val="36"/>
        </w:rPr>
        <w:t>参数不响应扣</w:t>
      </w:r>
      <w:r>
        <w:rPr>
          <w:rFonts w:hint="eastAsia" w:ascii="仿宋_GB2312" w:hAnsi="仿宋_GB2312" w:eastAsia="仿宋_GB2312" w:cs="仿宋_GB2312"/>
          <w:sz w:val="28"/>
          <w:szCs w:val="36"/>
          <w:lang w:val="en-US" w:eastAsia="zh-CN"/>
        </w:rPr>
        <w:t>6.5</w:t>
      </w:r>
      <w:r>
        <w:rPr>
          <w:rFonts w:hint="eastAsia" w:ascii="仿宋_GB2312" w:hAnsi="仿宋_GB2312" w:eastAsia="仿宋_GB2312" w:cs="仿宋_GB2312"/>
          <w:sz w:val="28"/>
          <w:szCs w:val="36"/>
        </w:rPr>
        <w:t>分</w:t>
      </w:r>
      <w:bookmarkEnd w:id="0"/>
      <w:r>
        <w:rPr>
          <w:rFonts w:hint="eastAsia" w:ascii="仿宋_GB2312" w:hAnsi="仿宋_GB2312" w:eastAsia="仿宋_GB2312" w:cs="仿宋_GB2312"/>
          <w:sz w:val="28"/>
          <w:szCs w:val="36"/>
        </w:rPr>
        <w:t>，每有一条</w:t>
      </w:r>
      <w:r>
        <w:rPr>
          <w:rFonts w:hint="eastAsia" w:ascii="仿宋_GB2312" w:hAnsi="仿宋_GB2312" w:eastAsia="仿宋_GB2312" w:cs="仿宋_GB2312"/>
          <w:sz w:val="28"/>
          <w:szCs w:val="36"/>
          <w:lang w:val="en-US" w:eastAsia="zh-CN"/>
        </w:rPr>
        <w:t>一般</w:t>
      </w:r>
      <w:r>
        <w:rPr>
          <w:rFonts w:hint="eastAsia" w:ascii="仿宋_GB2312" w:hAnsi="仿宋_GB2312" w:eastAsia="仿宋_GB2312" w:cs="仿宋_GB2312"/>
          <w:sz w:val="28"/>
          <w:szCs w:val="36"/>
        </w:rPr>
        <w:t>参数不响应扣</w:t>
      </w:r>
      <w:r>
        <w:rPr>
          <w:rFonts w:hint="eastAsia" w:ascii="仿宋_GB2312" w:hAnsi="仿宋_GB2312" w:eastAsia="仿宋_GB2312" w:cs="仿宋_GB2312"/>
          <w:sz w:val="28"/>
          <w:szCs w:val="36"/>
          <w:lang w:val="en-US" w:eastAsia="zh-CN"/>
        </w:rPr>
        <w:t>4</w:t>
      </w:r>
      <w:r>
        <w:rPr>
          <w:rFonts w:hint="eastAsia" w:ascii="仿宋_GB2312" w:hAnsi="仿宋_GB2312" w:eastAsia="仿宋_GB2312" w:cs="仿宋_GB2312"/>
          <w:sz w:val="28"/>
          <w:szCs w:val="36"/>
        </w:rPr>
        <w:t>分，分数扣完为止。技术和功能响应未描述或未提供相应支撑材料的，对应项不得分。</w:t>
      </w: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宋体" w:hAnsi="宋体" w:eastAsia="宋体" w:cs="宋体"/>
          <w:sz w:val="32"/>
          <w:szCs w:val="32"/>
        </w:rPr>
      </w:pPr>
      <w:r>
        <w:rPr>
          <w:rFonts w:hint="eastAsia" w:ascii="仿宋_GB2312" w:hAnsi="仿宋_GB2312" w:eastAsia="仿宋_GB2312" w:cs="仿宋_GB2312"/>
          <w:sz w:val="28"/>
          <w:szCs w:val="36"/>
        </w:rPr>
        <w:t>4.质保不少于4年</w:t>
      </w:r>
      <w:r>
        <w:rPr>
          <w:rFonts w:hint="eastAsia" w:ascii="仿宋_GB2312" w:hAnsi="仿宋_GB2312" w:eastAsia="仿宋_GB2312" w:cs="仿宋_GB2312"/>
          <w:sz w:val="28"/>
          <w:szCs w:val="36"/>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