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方正楷体_GBK" w:hAnsi="方正楷体_GBK" w:eastAsia="方正楷体_GBK" w:cs="方正楷体_GBK"/>
          <w:b/>
          <w:bCs/>
          <w:sz w:val="32"/>
          <w:szCs w:val="32"/>
          <w:highlight w:val="yellow"/>
          <w:lang w:eastAsia="zh-CN"/>
        </w:rPr>
      </w:pPr>
      <w:r>
        <w:rPr>
          <w:rFonts w:hint="eastAsia" w:ascii="方正楷体_GBK" w:hAnsi="方正楷体_GBK" w:eastAsia="方正楷体_GBK" w:cs="方正楷体_GBK"/>
          <w:sz w:val="32"/>
          <w:szCs w:val="32"/>
          <w:highlight w:val="yellow"/>
          <w:lang w:eastAsia="zh-CN"/>
        </w:rPr>
        <w:t>一、</w:t>
      </w:r>
      <w:r>
        <w:rPr>
          <w:rFonts w:hint="eastAsia" w:ascii="方正楷体_GBK" w:hAnsi="方正楷体_GBK" w:eastAsia="方正楷体_GBK" w:cs="方正楷体_GBK"/>
          <w:b/>
          <w:bCs/>
          <w:sz w:val="32"/>
          <w:szCs w:val="32"/>
          <w:highlight w:val="yellow"/>
          <w:lang w:eastAsia="zh-CN"/>
        </w:rPr>
        <w:t>资格评审</w:t>
      </w:r>
    </w:p>
    <w:p>
      <w:pPr>
        <w:rPr>
          <w:rFonts w:hint="eastAsia" w:ascii="方正楷体_GBK" w:hAnsi="方正楷体_GBK" w:eastAsia="方正楷体_GBK" w:cs="方正楷体_GBK"/>
          <w:sz w:val="32"/>
          <w:szCs w:val="32"/>
          <w:lang w:eastAsia="zh-CN"/>
        </w:rPr>
      </w:pPr>
      <w:r>
        <w:rPr>
          <w:rFonts w:hint="eastAsia" w:ascii="方正楷体_GBK" w:hAnsi="方正楷体_GBK" w:eastAsia="方正楷体_GBK" w:cs="方正楷体_GBK"/>
          <w:sz w:val="32"/>
          <w:szCs w:val="32"/>
          <w:lang w:eastAsia="zh-CN"/>
        </w:rPr>
        <w:t>资格条件见医院官网公告内容。</w:t>
      </w:r>
    </w:p>
    <w:p>
      <w:pPr>
        <w:rPr>
          <w:rFonts w:hint="default" w:ascii="方正楷体_GBK" w:hAnsi="方正楷体_GBK" w:eastAsia="方正楷体_GBK" w:cs="方正楷体_GBK"/>
          <w:sz w:val="32"/>
          <w:szCs w:val="32"/>
          <w:lang w:val="en-US" w:eastAsia="zh-CN"/>
        </w:rPr>
      </w:pPr>
      <w:r>
        <w:rPr>
          <w:rFonts w:hint="eastAsia" w:ascii="方正楷体_GBK" w:hAnsi="方正楷体_GBK" w:eastAsia="方正楷体_GBK" w:cs="方正楷体_GBK"/>
          <w:sz w:val="32"/>
          <w:szCs w:val="32"/>
          <w:lang w:eastAsia="zh-CN"/>
        </w:rPr>
        <w:t>投标文件格式自拟。</w:t>
      </w:r>
    </w:p>
    <w:p>
      <w:pPr>
        <w:rPr>
          <w:rFonts w:hint="eastAsia" w:ascii="方正楷体_GBK" w:hAnsi="方正楷体_GBK" w:eastAsia="方正楷体_GBK" w:cs="方正楷体_GBK"/>
          <w:b/>
          <w:bCs/>
          <w:sz w:val="32"/>
          <w:szCs w:val="32"/>
          <w:highlight w:val="none"/>
          <w:lang w:eastAsia="zh-CN"/>
        </w:rPr>
      </w:pPr>
      <w:r>
        <w:rPr>
          <w:rFonts w:hint="eastAsia" w:ascii="方正楷体_GBK" w:hAnsi="方正楷体_GBK" w:eastAsia="方正楷体_GBK" w:cs="方正楷体_GBK"/>
          <w:b/>
          <w:bCs/>
          <w:sz w:val="32"/>
          <w:szCs w:val="32"/>
          <w:highlight w:val="none"/>
          <w:lang w:eastAsia="zh-CN"/>
        </w:rPr>
        <w:t>特殊资格要求：</w:t>
      </w:r>
    </w:p>
    <w:p>
      <w:pPr>
        <w:rPr>
          <w:rFonts w:hint="eastAsia" w:ascii="方正楷体_GBK" w:hAnsi="方正楷体_GBK" w:eastAsia="方正楷体_GBK" w:cs="方正楷体_GBK"/>
          <w:sz w:val="32"/>
          <w:szCs w:val="32"/>
          <w:lang w:eastAsia="zh-CN"/>
        </w:rPr>
      </w:pPr>
      <w:r>
        <w:rPr>
          <w:rFonts w:hint="eastAsia" w:ascii="方正楷体_GBK" w:hAnsi="方正楷体_GBK" w:eastAsia="方正楷体_GBK" w:cs="方正楷体_GBK"/>
          <w:sz w:val="32"/>
          <w:szCs w:val="32"/>
        </w:rPr>
        <w:t>供应商应具有客运《道路运输经营许可证》、具有交通运输企业安全生产标准化建设二级及以上等级证明证书</w:t>
      </w:r>
      <w:r>
        <w:rPr>
          <w:rFonts w:hint="eastAsia" w:ascii="方正楷体_GBK" w:hAnsi="方正楷体_GBK" w:eastAsia="方正楷体_GBK" w:cs="方正楷体_GBK"/>
          <w:sz w:val="32"/>
          <w:szCs w:val="32"/>
          <w:lang w:eastAsia="zh-CN"/>
        </w:rPr>
        <w:t>；本项目不接受联合体投标。</w:t>
      </w:r>
    </w:p>
    <w:p>
      <w:pPr>
        <w:rPr>
          <w:rFonts w:hint="eastAsia" w:ascii="方正楷体_GBK" w:hAnsi="方正楷体_GBK" w:eastAsia="方正楷体_GBK" w:cs="方正楷体_GBK"/>
          <w:sz w:val="32"/>
          <w:szCs w:val="32"/>
          <w:lang w:eastAsia="zh-CN"/>
        </w:rPr>
      </w:pPr>
      <w:r>
        <w:rPr>
          <w:rFonts w:hint="eastAsia" w:ascii="方正楷体_GBK" w:hAnsi="方正楷体_GBK" w:eastAsia="方正楷体_GBK" w:cs="方正楷体_GBK"/>
          <w:sz w:val="32"/>
          <w:szCs w:val="32"/>
          <w:lang w:eastAsia="zh-CN"/>
        </w:rPr>
        <w:t>（一）服务技术要求：</w:t>
      </w:r>
    </w:p>
    <w:p>
      <w:pPr>
        <w:rPr>
          <w:rFonts w:hint="eastAsia" w:ascii="方正楷体_GBK" w:hAnsi="方正楷体_GBK" w:eastAsia="方正楷体_GBK" w:cs="方正楷体_GBK"/>
          <w:b/>
          <w:bCs/>
          <w:sz w:val="32"/>
          <w:szCs w:val="32"/>
          <w:lang w:val="en-US" w:eastAsia="zh-CN"/>
        </w:rPr>
      </w:pPr>
      <w:r>
        <w:rPr>
          <w:rFonts w:hint="eastAsia" w:ascii="方正楷体_GBK" w:hAnsi="方正楷体_GBK" w:eastAsia="方正楷体_GBK" w:cs="方正楷体_GBK"/>
          <w:b/>
          <w:bCs/>
          <w:sz w:val="32"/>
          <w:szCs w:val="32"/>
          <w:lang w:val="en-US" w:eastAsia="zh-CN"/>
        </w:rPr>
        <w:t>车辆配置要求：</w:t>
      </w:r>
    </w:p>
    <w:p>
      <w:pPr>
        <w:rPr>
          <w:rFonts w:hint="eastAsia" w:ascii="方正楷体_GBK" w:hAnsi="方正楷体_GBK" w:eastAsia="方正楷体_GBK" w:cs="方正楷体_GBK"/>
          <w:sz w:val="32"/>
          <w:szCs w:val="32"/>
          <w:highlight w:val="yellow"/>
          <w:lang w:eastAsia="zh-CN"/>
        </w:rPr>
      </w:pPr>
      <w:r>
        <w:rPr>
          <w:rFonts w:hint="eastAsia" w:ascii="方正楷体_GBK" w:hAnsi="方正楷体_GBK" w:eastAsia="方正楷体_GBK" w:cs="方正楷体_GBK"/>
          <w:sz w:val="32"/>
          <w:szCs w:val="32"/>
          <w:lang w:val="en-US" w:eastAsia="zh-CN"/>
        </w:rPr>
        <w:t>1.</w:t>
      </w:r>
      <w:r>
        <w:rPr>
          <w:rFonts w:hint="eastAsia" w:ascii="方正楷体_GBK" w:hAnsi="方正楷体_GBK" w:eastAsia="方正楷体_GBK" w:cs="方正楷体_GBK"/>
          <w:sz w:val="32"/>
          <w:szCs w:val="32"/>
        </w:rPr>
        <w:t>提供的车辆为37座</w:t>
      </w:r>
      <w:r>
        <w:rPr>
          <w:rFonts w:hint="eastAsia" w:ascii="方正楷体_GBK" w:hAnsi="方正楷体_GBK" w:eastAsia="方正楷体_GBK" w:cs="方正楷体_GBK"/>
          <w:sz w:val="32"/>
          <w:szCs w:val="32"/>
          <w:lang w:eastAsia="zh-CN"/>
        </w:rPr>
        <w:t>及以上</w:t>
      </w:r>
      <w:r>
        <w:rPr>
          <w:rFonts w:hint="eastAsia" w:ascii="方正楷体_GBK" w:hAnsi="方正楷体_GBK" w:eastAsia="方正楷体_GBK" w:cs="方正楷体_GBK"/>
          <w:sz w:val="32"/>
          <w:szCs w:val="32"/>
        </w:rPr>
        <w:t>的品牌空调大巴车,车辆装备等级必须达到国家有关部门规定的“高一级”标准。所有车辆须持有年度保险证明及车辆年度安全检验合格证明。车况良好，符合国家对客运车辆的机械性能和安全的要求。</w:t>
      </w:r>
      <w:r>
        <w:rPr>
          <w:rFonts w:hint="eastAsia" w:ascii="方正楷体_GBK" w:hAnsi="方正楷体_GBK" w:eastAsia="方正楷体_GBK" w:cs="方正楷体_GBK"/>
          <w:sz w:val="32"/>
          <w:szCs w:val="32"/>
          <w:highlight w:val="yellow"/>
        </w:rPr>
        <w:t>提供的车辆手续、保险齐全，满足行政主管部门的营运要求</w:t>
      </w:r>
      <w:r>
        <w:rPr>
          <w:rFonts w:hint="eastAsia" w:ascii="方正楷体_GBK" w:hAnsi="方正楷体_GBK" w:eastAsia="方正楷体_GBK" w:cs="方正楷体_GBK"/>
          <w:sz w:val="32"/>
          <w:szCs w:val="32"/>
          <w:highlight w:val="yellow"/>
          <w:lang w:eastAsia="zh-CN"/>
        </w:rPr>
        <w:t>。</w:t>
      </w:r>
    </w:p>
    <w:p>
      <w:pPr>
        <w:rPr>
          <w:rFonts w:hint="eastAsia" w:ascii="方正楷体_GBK" w:hAnsi="方正楷体_GBK" w:eastAsia="方正楷体_GBK" w:cs="方正楷体_GBK"/>
          <w:b/>
          <w:bCs/>
          <w:sz w:val="32"/>
          <w:szCs w:val="32"/>
          <w:highlight w:val="none"/>
          <w:lang w:eastAsia="zh-CN"/>
        </w:rPr>
      </w:pPr>
      <w:r>
        <w:rPr>
          <w:rFonts w:hint="eastAsia" w:ascii="方正楷体_GBK" w:hAnsi="方正楷体_GBK" w:eastAsia="方正楷体_GBK" w:cs="方正楷体_GBK"/>
          <w:b/>
          <w:bCs/>
          <w:sz w:val="32"/>
          <w:szCs w:val="32"/>
          <w:highlight w:val="none"/>
          <w:lang w:eastAsia="zh-CN"/>
        </w:rPr>
        <w:t>服务要求：</w:t>
      </w:r>
    </w:p>
    <w:p>
      <w:pPr>
        <w:rPr>
          <w:rFonts w:hint="eastAsia" w:ascii="方正楷体_GBK" w:hAnsi="方正楷体_GBK" w:eastAsia="方正楷体_GBK" w:cs="方正楷体_GBK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sz w:val="32"/>
          <w:szCs w:val="32"/>
          <w:lang w:val="en-US" w:eastAsia="zh-CN"/>
        </w:rPr>
        <w:t>2.</w:t>
      </w:r>
      <w:r>
        <w:rPr>
          <w:rFonts w:hint="eastAsia" w:ascii="方正楷体_GBK" w:hAnsi="方正楷体_GBK" w:eastAsia="方正楷体_GBK" w:cs="方正楷体_GBK"/>
          <w:sz w:val="32"/>
          <w:szCs w:val="32"/>
        </w:rPr>
        <w:t>每月一次安全例保，每季度一次二级维护。</w:t>
      </w:r>
    </w:p>
    <w:p>
      <w:pPr>
        <w:rPr>
          <w:rFonts w:hint="eastAsia" w:ascii="方正楷体_GBK" w:hAnsi="方正楷体_GBK" w:eastAsia="方正楷体_GBK" w:cs="方正楷体_GBK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sz w:val="32"/>
          <w:szCs w:val="32"/>
          <w:lang w:val="en-US" w:eastAsia="zh-CN"/>
        </w:rPr>
        <w:t>3.</w:t>
      </w:r>
      <w:r>
        <w:rPr>
          <w:rFonts w:hint="eastAsia" w:ascii="方正楷体_GBK" w:hAnsi="方正楷体_GBK" w:eastAsia="方正楷体_GBK" w:cs="方正楷体_GBK"/>
          <w:sz w:val="32"/>
          <w:szCs w:val="32"/>
        </w:rPr>
        <w:t>运行车辆具备：行驶证、环保标志、保险齐全（交强险、第三者责任险不少于 50</w:t>
      </w:r>
      <w:r>
        <w:rPr>
          <w:rFonts w:hint="eastAsia" w:ascii="方正楷体_GBK" w:hAnsi="方正楷体_GBK" w:eastAsia="方正楷体_GBK" w:cs="方正楷体_GBK"/>
          <w:sz w:val="32"/>
          <w:szCs w:val="32"/>
          <w:lang w:val="en-US" w:eastAsia="zh-CN"/>
        </w:rPr>
        <w:t xml:space="preserve"> </w:t>
      </w:r>
      <w:r>
        <w:rPr>
          <w:rFonts w:hint="eastAsia" w:ascii="方正楷体_GBK" w:hAnsi="方正楷体_GBK" w:eastAsia="方正楷体_GBK" w:cs="方正楷体_GBK"/>
          <w:sz w:val="32"/>
          <w:szCs w:val="32"/>
        </w:rPr>
        <w:t>万元，座位险不少于 40 万元/座）。</w:t>
      </w:r>
    </w:p>
    <w:p>
      <w:pPr>
        <w:rPr>
          <w:rFonts w:hint="eastAsia" w:ascii="方正楷体_GBK" w:hAnsi="方正楷体_GBK" w:eastAsia="方正楷体_GBK" w:cs="方正楷体_GBK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sz w:val="32"/>
          <w:szCs w:val="32"/>
          <w:lang w:val="en-US" w:eastAsia="zh-CN"/>
        </w:rPr>
        <w:t>4.</w:t>
      </w:r>
      <w:r>
        <w:rPr>
          <w:rFonts w:hint="eastAsia" w:ascii="方正楷体_GBK" w:hAnsi="方正楷体_GBK" w:eastAsia="方正楷体_GBK" w:cs="方正楷体_GBK"/>
          <w:sz w:val="32"/>
          <w:szCs w:val="32"/>
        </w:rPr>
        <w:t>人员要求：须有至少 2 名经验丰富的管理人员负责车辆管理、调配工作。</w:t>
      </w:r>
    </w:p>
    <w:p>
      <w:pPr>
        <w:rPr>
          <w:rFonts w:hint="eastAsia" w:ascii="方正楷体_GBK" w:hAnsi="方正楷体_GBK" w:eastAsia="方正楷体_GBK" w:cs="方正楷体_GBK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sz w:val="32"/>
          <w:szCs w:val="32"/>
          <w:lang w:val="en-US" w:eastAsia="zh-CN"/>
        </w:rPr>
        <w:t>5.</w:t>
      </w:r>
      <w:r>
        <w:rPr>
          <w:rFonts w:hint="eastAsia" w:ascii="方正楷体_GBK" w:hAnsi="方正楷体_GBK" w:eastAsia="方正楷体_GBK" w:cs="方正楷体_GBK"/>
          <w:sz w:val="32"/>
          <w:szCs w:val="32"/>
        </w:rPr>
        <w:t>驾驶员必须持有 A1 驾驶证、五年以上驾龄、年龄在 25-55 岁之间，无重大安全责任事故记录，身体健康，无重大疾病。</w:t>
      </w:r>
      <w:r>
        <w:rPr>
          <w:rFonts w:hint="eastAsia" w:ascii="方正楷体_GBK" w:hAnsi="方正楷体_GBK" w:eastAsia="方正楷体_GBK" w:cs="方正楷体_GBK"/>
          <w:sz w:val="32"/>
          <w:szCs w:val="32"/>
          <w:highlight w:val="yellow"/>
        </w:rPr>
        <w:t>驾驶员具有从事客运从业资格证书</w:t>
      </w:r>
      <w:r>
        <w:rPr>
          <w:rFonts w:hint="eastAsia" w:ascii="方正楷体_GBK" w:hAnsi="方正楷体_GBK" w:eastAsia="方正楷体_GBK" w:cs="方正楷体_GBK"/>
          <w:sz w:val="32"/>
          <w:szCs w:val="32"/>
          <w:highlight w:val="yellow"/>
          <w:lang w:eastAsia="zh-CN"/>
        </w:rPr>
        <w:t>。</w:t>
      </w:r>
    </w:p>
    <w:p>
      <w:pPr>
        <w:rPr>
          <w:rFonts w:hint="eastAsia" w:ascii="方正楷体_GBK" w:hAnsi="方正楷体_GBK" w:eastAsia="方正楷体_GBK" w:cs="方正楷体_GBK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sz w:val="32"/>
          <w:szCs w:val="32"/>
          <w:lang w:val="en-US" w:eastAsia="zh-CN"/>
        </w:rPr>
        <w:t>6.</w:t>
      </w:r>
      <w:r>
        <w:rPr>
          <w:rFonts w:hint="eastAsia" w:ascii="方正楷体_GBK" w:hAnsi="方正楷体_GBK" w:eastAsia="方正楷体_GBK" w:cs="方正楷体_GBK"/>
          <w:sz w:val="32"/>
          <w:szCs w:val="32"/>
        </w:rPr>
        <w:t>各车辆驾驶员要相对固定，保持通讯畅通，服从采购人调遣，按要求时间提前到达指定地点等候。应做好车辆日常检查、卫生保洁工作，遵守交通规则，车辆行驶中不随意停靠及接听电话。</w:t>
      </w:r>
    </w:p>
    <w:p>
      <w:pPr>
        <w:rPr>
          <w:rFonts w:hint="eastAsia" w:ascii="方正楷体_GBK" w:hAnsi="方正楷体_GBK" w:eastAsia="方正楷体_GBK" w:cs="方正楷体_GBK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sz w:val="32"/>
          <w:szCs w:val="32"/>
          <w:lang w:val="en-US" w:eastAsia="zh-CN"/>
        </w:rPr>
        <w:t>7.</w:t>
      </w:r>
      <w:r>
        <w:rPr>
          <w:rFonts w:hint="eastAsia" w:ascii="方正楷体_GBK" w:hAnsi="方正楷体_GBK" w:eastAsia="方正楷体_GBK" w:cs="方正楷体_GBK"/>
          <w:sz w:val="32"/>
          <w:szCs w:val="32"/>
        </w:rPr>
        <w:t>采购人根据使用需求，有权增加或减少车辆的使用数量。</w:t>
      </w:r>
    </w:p>
    <w:p>
      <w:pPr>
        <w:rPr>
          <w:rFonts w:hint="eastAsia" w:ascii="方正楷体_GBK" w:hAnsi="方正楷体_GBK" w:eastAsia="方正楷体_GBK" w:cs="方正楷体_GBK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sz w:val="32"/>
          <w:szCs w:val="32"/>
          <w:lang w:val="en-US" w:eastAsia="zh-CN"/>
        </w:rPr>
        <w:t>8.</w:t>
      </w:r>
      <w:r>
        <w:rPr>
          <w:rFonts w:hint="eastAsia" w:ascii="方正楷体_GBK" w:hAnsi="方正楷体_GBK" w:eastAsia="方正楷体_GBK" w:cs="方正楷体_GBK"/>
          <w:sz w:val="32"/>
          <w:szCs w:val="32"/>
        </w:rPr>
        <w:t>供应商应建立健全相应的管理制度，提供安全、高效、文明的服务，及时受理业务咨询、办理、跟踪服务及质疑、投诉。</w:t>
      </w:r>
    </w:p>
    <w:p>
      <w:pPr>
        <w:rPr>
          <w:rFonts w:hint="eastAsia" w:ascii="方正楷体_GBK" w:hAnsi="方正楷体_GBK" w:eastAsia="方正楷体_GBK" w:cs="方正楷体_GBK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sz w:val="32"/>
          <w:szCs w:val="32"/>
          <w:lang w:val="en-US" w:eastAsia="zh-CN"/>
        </w:rPr>
        <w:t>9.</w:t>
      </w:r>
      <w:r>
        <w:rPr>
          <w:rFonts w:hint="eastAsia" w:ascii="方正楷体_GBK" w:hAnsi="方正楷体_GBK" w:eastAsia="方正楷体_GBK" w:cs="方正楷体_GBK"/>
          <w:sz w:val="32"/>
          <w:szCs w:val="32"/>
        </w:rPr>
        <w:t>供应商要制定应急措施，配备 1 辆应急车辆，确保特殊情况时及时调配，满足采购人使用需求。</w:t>
      </w:r>
    </w:p>
    <w:p>
      <w:pPr>
        <w:rPr>
          <w:rFonts w:hint="eastAsia" w:ascii="方正楷体_GBK" w:hAnsi="方正楷体_GBK" w:eastAsia="方正楷体_GBK" w:cs="方正楷体_GBK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sz w:val="32"/>
          <w:szCs w:val="32"/>
          <w:lang w:val="en-US" w:eastAsia="zh-CN"/>
        </w:rPr>
        <w:t>10.</w:t>
      </w:r>
      <w:r>
        <w:rPr>
          <w:rFonts w:hint="eastAsia" w:ascii="方正楷体_GBK" w:hAnsi="方正楷体_GBK" w:eastAsia="方正楷体_GBK" w:cs="方正楷体_GBK"/>
          <w:sz w:val="32"/>
          <w:szCs w:val="32"/>
        </w:rPr>
        <w:t>供应商要做好车辆检修工作，确保车辆安全可靠，保证车辆整洁、美观、舒适，并提供配套的公务出行服务。</w:t>
      </w:r>
    </w:p>
    <w:p>
      <w:pPr>
        <w:rPr>
          <w:rFonts w:hint="eastAsia" w:ascii="方正楷体_GBK" w:hAnsi="方正楷体_GBK" w:eastAsia="方正楷体_GBK" w:cs="方正楷体_GBK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sz w:val="32"/>
          <w:szCs w:val="32"/>
          <w:lang w:val="en-US" w:eastAsia="zh-CN"/>
        </w:rPr>
        <w:t>11.</w:t>
      </w:r>
      <w:r>
        <w:rPr>
          <w:rFonts w:hint="eastAsia" w:ascii="方正楷体_GBK" w:hAnsi="方正楷体_GBK" w:eastAsia="方正楷体_GBK" w:cs="方正楷体_GBK"/>
          <w:sz w:val="32"/>
          <w:szCs w:val="32"/>
        </w:rPr>
        <w:t>供应商应对驾驶人员做好政审工作，签订相关保密协议，加强对驾驶员的业务能力、素质的培训工作。</w:t>
      </w:r>
    </w:p>
    <w:p>
      <w:pPr>
        <w:rPr>
          <w:rFonts w:hint="eastAsia" w:ascii="方正楷体_GBK" w:hAnsi="方正楷体_GBK" w:eastAsia="方正楷体_GBK" w:cs="方正楷体_GBK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sz w:val="32"/>
          <w:szCs w:val="32"/>
          <w:lang w:val="en-US" w:eastAsia="zh-CN"/>
        </w:rPr>
        <w:t>12.</w:t>
      </w:r>
      <w:r>
        <w:rPr>
          <w:rFonts w:hint="eastAsia" w:ascii="方正楷体_GBK" w:hAnsi="方正楷体_GBK" w:eastAsia="方正楷体_GBK" w:cs="方正楷体_GBK"/>
          <w:sz w:val="32"/>
          <w:szCs w:val="32"/>
        </w:rPr>
        <w:t xml:space="preserve">供应商按照采购人要求的时间和路线，到达指定的地点。未经采购人同意，不得随意变更路线、时间、车辆及人员。 </w:t>
      </w:r>
    </w:p>
    <w:p>
      <w:pPr>
        <w:rPr>
          <w:rFonts w:hint="eastAsia" w:ascii="方正楷体_GBK" w:hAnsi="方正楷体_GBK" w:eastAsia="方正楷体_GBK" w:cs="方正楷体_GBK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sz w:val="32"/>
          <w:szCs w:val="32"/>
          <w:lang w:val="en-US" w:eastAsia="zh-CN"/>
        </w:rPr>
        <w:t>13.</w:t>
      </w:r>
      <w:r>
        <w:rPr>
          <w:rFonts w:hint="eastAsia" w:ascii="方正楷体_GBK" w:hAnsi="方正楷体_GBK" w:eastAsia="方正楷体_GBK" w:cs="方正楷体_GBK"/>
          <w:sz w:val="32"/>
          <w:szCs w:val="32"/>
        </w:rPr>
        <w:t>行驶车辆必须安全、准点，驾驶员应文明用语，严格遵守交通法规，确保乘车人安全。</w:t>
      </w:r>
    </w:p>
    <w:p>
      <w:pPr>
        <w:rPr>
          <w:rFonts w:hint="eastAsia" w:ascii="方正楷体_GBK" w:hAnsi="方正楷体_GBK" w:eastAsia="方正楷体_GBK" w:cs="方正楷体_GBK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sz w:val="32"/>
          <w:szCs w:val="32"/>
          <w:lang w:val="en-US" w:eastAsia="zh-CN"/>
        </w:rPr>
        <w:t>14.</w:t>
      </w:r>
      <w:r>
        <w:rPr>
          <w:rFonts w:hint="eastAsia" w:ascii="方正楷体_GBK" w:hAnsi="方正楷体_GBK" w:eastAsia="方正楷体_GBK" w:cs="方正楷体_GBK"/>
          <w:sz w:val="32"/>
          <w:szCs w:val="32"/>
        </w:rPr>
        <w:t>每天对车辆进行清洗、消毒，确保服务周期内车内干净、整洁。</w:t>
      </w:r>
    </w:p>
    <w:p>
      <w:pPr>
        <w:rPr>
          <w:rFonts w:hint="eastAsia" w:ascii="方正楷体_GBK" w:hAnsi="方正楷体_GBK" w:eastAsia="方正楷体_GBK" w:cs="方正楷体_GBK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sz w:val="32"/>
          <w:szCs w:val="32"/>
          <w:lang w:val="en-US" w:eastAsia="zh-CN"/>
        </w:rPr>
        <w:t>15.</w:t>
      </w:r>
      <w:r>
        <w:rPr>
          <w:rFonts w:hint="eastAsia" w:ascii="方正楷体_GBK" w:hAnsi="方正楷体_GBK" w:eastAsia="方正楷体_GBK" w:cs="方正楷体_GBK"/>
          <w:sz w:val="32"/>
          <w:szCs w:val="32"/>
        </w:rPr>
        <w:t>驾驶员须统一着装，遵守</w:t>
      </w:r>
      <w:r>
        <w:rPr>
          <w:rFonts w:hint="eastAsia" w:ascii="方正楷体_GBK" w:hAnsi="方正楷体_GBK" w:eastAsia="方正楷体_GBK" w:cs="方正楷体_GBK"/>
          <w:sz w:val="32"/>
          <w:szCs w:val="32"/>
          <w:lang w:eastAsia="zh-CN"/>
        </w:rPr>
        <w:t>医院</w:t>
      </w:r>
      <w:r>
        <w:rPr>
          <w:rFonts w:hint="eastAsia" w:ascii="方正楷体_GBK" w:hAnsi="方正楷体_GBK" w:eastAsia="方正楷体_GBK" w:cs="方正楷体_GBK"/>
          <w:sz w:val="32"/>
          <w:szCs w:val="32"/>
        </w:rPr>
        <w:t>的规章制度，文明服务。</w:t>
      </w:r>
    </w:p>
    <w:p>
      <w:pPr>
        <w:rPr>
          <w:rFonts w:hint="eastAsia" w:ascii="方正楷体_GBK" w:hAnsi="方正楷体_GBK" w:eastAsia="方正楷体_GBK" w:cs="方正楷体_GBK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sz w:val="32"/>
          <w:szCs w:val="32"/>
          <w:lang w:val="en-US" w:eastAsia="zh-CN"/>
        </w:rPr>
        <w:t>16.</w:t>
      </w:r>
      <w:r>
        <w:rPr>
          <w:rFonts w:hint="eastAsia" w:ascii="方正楷体_GBK" w:hAnsi="方正楷体_GBK" w:eastAsia="方正楷体_GBK" w:cs="方正楷体_GBK"/>
          <w:sz w:val="32"/>
          <w:szCs w:val="32"/>
        </w:rPr>
        <w:t>驾驶员或服务人员在服务周期内发生一次投诉的，将向服务单位发出整改通知书，并要求在 24 小时之内进行整改，发生二次有效投诉或整改后仍达不到要求的，服务单位需更换驾驶员或服务人员。</w:t>
      </w:r>
    </w:p>
    <w:p>
      <w:pPr>
        <w:rPr>
          <w:rFonts w:hint="default" w:ascii="方正楷体_GBK" w:hAnsi="方正楷体_GBK" w:eastAsia="方正楷体_GBK" w:cs="方正楷体_GBK"/>
          <w:sz w:val="32"/>
          <w:szCs w:val="32"/>
          <w:lang w:val="en-US" w:eastAsia="zh-CN"/>
        </w:rPr>
      </w:pPr>
      <w:r>
        <w:rPr>
          <w:rFonts w:hint="eastAsia" w:ascii="方正楷体_GBK" w:hAnsi="方正楷体_GBK" w:eastAsia="方正楷体_GBK" w:cs="方正楷体_GBK"/>
          <w:sz w:val="32"/>
          <w:szCs w:val="32"/>
          <w:lang w:val="en-US" w:eastAsia="zh-CN"/>
        </w:rPr>
        <w:t>17.配合采购人完成突发性重大事件及临时性重要活动。</w:t>
      </w:r>
    </w:p>
    <w:p>
      <w:pPr>
        <w:rPr>
          <w:rFonts w:hint="eastAsia" w:ascii="方正楷体_GBK" w:hAnsi="方正楷体_GBK" w:eastAsia="方正楷体_GBK" w:cs="方正楷体_GBK"/>
          <w:sz w:val="32"/>
          <w:szCs w:val="32"/>
          <w:lang w:eastAsia="zh-CN"/>
        </w:rPr>
      </w:pPr>
      <w:r>
        <w:rPr>
          <w:rFonts w:hint="eastAsia" w:ascii="方正楷体_GBK" w:hAnsi="方正楷体_GBK" w:eastAsia="方正楷体_GBK" w:cs="方正楷体_GBK"/>
          <w:sz w:val="32"/>
          <w:szCs w:val="32"/>
          <w:lang w:eastAsia="zh-CN"/>
        </w:rPr>
        <w:t>（二）商务要求：</w:t>
      </w:r>
    </w:p>
    <w:p>
      <w:pPr>
        <w:rPr>
          <w:rFonts w:hint="eastAsia" w:ascii="方正楷体_GBK" w:hAnsi="方正楷体_GBK" w:eastAsia="方正楷体_GBK" w:cs="方正楷体_GBK"/>
          <w:sz w:val="32"/>
          <w:szCs w:val="32"/>
          <w:lang w:eastAsia="zh-CN"/>
        </w:rPr>
      </w:pPr>
      <w:r>
        <w:rPr>
          <w:rFonts w:hint="eastAsia" w:ascii="方正楷体_GBK" w:hAnsi="方正楷体_GBK" w:eastAsia="方正楷体_GBK" w:cs="方正楷体_GBK"/>
          <w:sz w:val="32"/>
          <w:szCs w:val="32"/>
          <w:lang w:val="en-US" w:eastAsia="zh-CN"/>
        </w:rPr>
        <w:t>1.</w:t>
      </w:r>
      <w:r>
        <w:rPr>
          <w:rFonts w:hint="eastAsia" w:ascii="方正楷体_GBK" w:hAnsi="方正楷体_GBK" w:eastAsia="方正楷体_GBK" w:cs="方正楷体_GBK"/>
          <w:sz w:val="32"/>
          <w:szCs w:val="32"/>
          <w:lang w:eastAsia="zh-CN"/>
        </w:rPr>
        <w:t>按实际发车往返班次单价结算服务费用，供应商可根据采购人需求增减发车班次。</w:t>
      </w:r>
    </w:p>
    <w:p>
      <w:pPr>
        <w:rPr>
          <w:rFonts w:hint="default" w:ascii="方正楷体_GBK" w:hAnsi="方正楷体_GBK" w:eastAsia="方正楷体_GBK" w:cs="方正楷体_GBK"/>
          <w:sz w:val="32"/>
          <w:szCs w:val="32"/>
          <w:lang w:val="en-US" w:eastAsia="zh-CN"/>
        </w:rPr>
      </w:pPr>
      <w:r>
        <w:rPr>
          <w:rFonts w:hint="eastAsia" w:ascii="方正楷体_GBK" w:hAnsi="方正楷体_GBK" w:eastAsia="方正楷体_GBK" w:cs="方正楷体_GBK"/>
          <w:sz w:val="32"/>
          <w:szCs w:val="32"/>
          <w:lang w:val="en-US" w:eastAsia="zh-CN"/>
        </w:rPr>
        <w:t>2.招标人不为中标人提供城区停车地点和承担停车费用。</w:t>
      </w:r>
    </w:p>
    <w:p>
      <w:pPr>
        <w:rPr>
          <w:rFonts w:hint="eastAsia" w:ascii="方正楷体_GBK" w:hAnsi="方正楷体_GBK" w:eastAsia="方正楷体_GBK" w:cs="方正楷体_GBK"/>
          <w:sz w:val="32"/>
          <w:szCs w:val="32"/>
          <w:lang w:eastAsia="zh-CN"/>
        </w:rPr>
      </w:pPr>
      <w:r>
        <w:rPr>
          <w:rFonts w:hint="eastAsia" w:ascii="方正楷体_GBK" w:hAnsi="方正楷体_GBK" w:eastAsia="方正楷体_GBK" w:cs="方正楷体_GBK"/>
          <w:sz w:val="32"/>
          <w:szCs w:val="32"/>
          <w:lang w:eastAsia="zh-CN"/>
        </w:rPr>
        <w:t>二、详细评审评分标准：</w:t>
      </w:r>
    </w:p>
    <w:tbl>
      <w:tblPr>
        <w:tblStyle w:val="3"/>
        <w:tblW w:w="1086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7"/>
        <w:gridCol w:w="1750"/>
        <w:gridCol w:w="79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97" w:type="dxa"/>
          </w:tcPr>
          <w:p>
            <w:pPr>
              <w:rPr>
                <w:rFonts w:hint="eastAsia" w:ascii="方正楷体_GBK" w:hAnsi="方正楷体_GBK" w:eastAsia="方正楷体_GBK" w:cs="方正楷体_GBK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方正楷体_GBK" w:hAnsi="方正楷体_GBK" w:eastAsia="方正楷体_GBK" w:cs="方正楷体_GBK"/>
                <w:sz w:val="21"/>
                <w:szCs w:val="21"/>
                <w:vertAlign w:val="baseline"/>
                <w:lang w:eastAsia="zh-CN"/>
              </w:rPr>
              <w:t>审查内容</w:t>
            </w:r>
          </w:p>
        </w:tc>
        <w:tc>
          <w:tcPr>
            <w:tcW w:w="1750" w:type="dxa"/>
          </w:tcPr>
          <w:p>
            <w:pPr>
              <w:rPr>
                <w:rFonts w:hint="eastAsia" w:ascii="方正楷体_GBK" w:hAnsi="方正楷体_GBK" w:eastAsia="方正楷体_GBK" w:cs="方正楷体_GBK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方正楷体_GBK" w:hAnsi="方正楷体_GBK" w:eastAsia="方正楷体_GBK" w:cs="方正楷体_GBK"/>
                <w:sz w:val="21"/>
                <w:szCs w:val="21"/>
                <w:vertAlign w:val="baseline"/>
                <w:lang w:eastAsia="zh-CN"/>
              </w:rPr>
              <w:t>评审因素</w:t>
            </w:r>
          </w:p>
        </w:tc>
        <w:tc>
          <w:tcPr>
            <w:tcW w:w="7921" w:type="dxa"/>
          </w:tcPr>
          <w:p>
            <w:pPr>
              <w:rPr>
                <w:rFonts w:hint="eastAsia" w:ascii="方正楷体_GBK" w:hAnsi="方正楷体_GBK" w:eastAsia="方正楷体_GBK" w:cs="方正楷体_GBK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方正楷体_GBK" w:hAnsi="方正楷体_GBK" w:eastAsia="方正楷体_GBK" w:cs="方正楷体_GBK"/>
                <w:sz w:val="21"/>
                <w:szCs w:val="21"/>
                <w:vertAlign w:val="baseline"/>
                <w:lang w:eastAsia="zh-CN"/>
              </w:rPr>
              <w:t>评审标准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97" w:type="dxa"/>
          </w:tcPr>
          <w:p>
            <w:pPr>
              <w:rPr>
                <w:rFonts w:hint="eastAsia" w:ascii="方正楷体_GBK" w:hAnsi="方正楷体_GBK" w:eastAsia="方正楷体_GBK" w:cs="方正楷体_GBK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方正楷体_GBK" w:hAnsi="方正楷体_GBK" w:eastAsia="方正楷体_GBK" w:cs="方正楷体_GBK"/>
                <w:sz w:val="21"/>
                <w:szCs w:val="21"/>
                <w:vertAlign w:val="baseline"/>
                <w:lang w:eastAsia="zh-CN"/>
              </w:rPr>
              <w:t>报价部分</w:t>
            </w:r>
          </w:p>
        </w:tc>
        <w:tc>
          <w:tcPr>
            <w:tcW w:w="1750" w:type="dxa"/>
          </w:tcPr>
          <w:p>
            <w:pPr>
              <w:rPr>
                <w:rFonts w:hint="eastAsia" w:ascii="方正楷体_GBK" w:hAnsi="方正楷体_GBK" w:eastAsia="方正楷体_GBK" w:cs="方正楷体_GBK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方正楷体_GBK" w:hAnsi="方正楷体_GBK" w:eastAsia="方正楷体_GBK" w:cs="方正楷体_GBK"/>
                <w:sz w:val="21"/>
                <w:szCs w:val="21"/>
                <w:vertAlign w:val="baseline"/>
                <w:lang w:eastAsia="zh-CN"/>
              </w:rPr>
              <w:t>投标报价</w:t>
            </w:r>
          </w:p>
          <w:p>
            <w:pPr>
              <w:rPr>
                <w:rFonts w:hint="default" w:ascii="方正楷体_GBK" w:hAnsi="方正楷体_GBK" w:eastAsia="方正楷体_GBK" w:cs="方正楷体_GBK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sz w:val="21"/>
                <w:szCs w:val="21"/>
                <w:vertAlign w:val="baseline"/>
                <w:lang w:val="en-US" w:eastAsia="zh-CN"/>
              </w:rPr>
              <w:t>(</w:t>
            </w:r>
            <w:r>
              <w:rPr>
                <w:rFonts w:hint="eastAsia" w:ascii="方正楷体_GBK" w:hAnsi="方正楷体_GBK" w:eastAsia="方正楷体_GBK" w:cs="方正楷体_GBK"/>
                <w:sz w:val="21"/>
                <w:szCs w:val="21"/>
                <w:vertAlign w:val="baseline"/>
                <w:lang w:eastAsia="zh-CN"/>
              </w:rPr>
              <w:t>总分</w:t>
            </w:r>
            <w:r>
              <w:rPr>
                <w:rFonts w:hint="eastAsia" w:ascii="方正楷体_GBK" w:hAnsi="方正楷体_GBK" w:eastAsia="方正楷体_GBK" w:cs="方正楷体_GBK"/>
                <w:sz w:val="21"/>
                <w:szCs w:val="21"/>
                <w:vertAlign w:val="baseline"/>
                <w:lang w:val="en-US" w:eastAsia="zh-CN"/>
              </w:rPr>
              <w:t>20分)</w:t>
            </w:r>
          </w:p>
        </w:tc>
        <w:tc>
          <w:tcPr>
            <w:tcW w:w="7921" w:type="dxa"/>
          </w:tcPr>
          <w:p>
            <w:pPr>
              <w:rPr>
                <w:rFonts w:hint="eastAsia" w:ascii="方正楷体_GBK" w:hAnsi="方正楷体_GBK" w:eastAsia="方正楷体_GBK" w:cs="方正楷体_GBK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方正楷体_GBK" w:hAnsi="方正楷体_GBK" w:eastAsia="方正楷体_GBK" w:cs="方正楷体_GBK"/>
                <w:sz w:val="21"/>
                <w:szCs w:val="21"/>
                <w:vertAlign w:val="baseline"/>
                <w:lang w:eastAsia="zh-CN"/>
              </w:rPr>
              <w:t>投标报价得分＝(评标基准价/投标报价)×</w:t>
            </w:r>
            <w:r>
              <w:rPr>
                <w:rFonts w:hint="eastAsia" w:ascii="方正楷体_GBK" w:hAnsi="方正楷体_GBK" w:eastAsia="方正楷体_GBK" w:cs="方正楷体_GBK"/>
                <w:sz w:val="21"/>
                <w:szCs w:val="21"/>
                <w:vertAlign w:val="baseline"/>
                <w:lang w:val="en-US" w:eastAsia="zh-CN"/>
              </w:rPr>
              <w:t>20</w:t>
            </w:r>
            <w:r>
              <w:rPr>
                <w:rFonts w:hint="eastAsia" w:ascii="方正楷体_GBK" w:hAnsi="方正楷体_GBK" w:eastAsia="方正楷体_GBK" w:cs="方正楷体_GBK"/>
                <w:sz w:val="21"/>
                <w:szCs w:val="21"/>
                <w:vertAlign w:val="baseline"/>
                <w:lang w:eastAsia="zh-CN"/>
              </w:rPr>
              <w:t>；</w:t>
            </w:r>
          </w:p>
          <w:p>
            <w:pPr>
              <w:rPr>
                <w:rFonts w:hint="eastAsia" w:ascii="方正楷体_GBK" w:hAnsi="方正楷体_GBK" w:eastAsia="方正楷体_GBK" w:cs="方正楷体_GBK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方正楷体_GBK" w:hAnsi="方正楷体_GBK" w:eastAsia="方正楷体_GBK" w:cs="方正楷体_GBK"/>
                <w:sz w:val="21"/>
                <w:szCs w:val="21"/>
                <w:vertAlign w:val="baseline"/>
                <w:lang w:eastAsia="zh-CN"/>
              </w:rPr>
              <w:t>评标基准价＝满足招标文件要求且投标总报价最低的投标总报价为评标基准价。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97" w:type="dxa"/>
            <w:vMerge w:val="restart"/>
          </w:tcPr>
          <w:p>
            <w:pPr>
              <w:rPr>
                <w:rFonts w:hint="eastAsia" w:ascii="方正楷体_GBK" w:hAnsi="方正楷体_GBK" w:eastAsia="方正楷体_GBK" w:cs="方正楷体_GBK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方正楷体_GBK" w:hAnsi="方正楷体_GBK" w:eastAsia="方正楷体_GBK" w:cs="方正楷体_GBK"/>
                <w:sz w:val="21"/>
                <w:szCs w:val="21"/>
                <w:vertAlign w:val="baseline"/>
                <w:lang w:eastAsia="zh-CN"/>
              </w:rPr>
              <w:t>技术部分</w:t>
            </w:r>
          </w:p>
        </w:tc>
        <w:tc>
          <w:tcPr>
            <w:tcW w:w="1750" w:type="dxa"/>
          </w:tcPr>
          <w:p>
            <w:pPr>
              <w:rPr>
                <w:rFonts w:hint="eastAsia" w:ascii="方正楷体_GBK" w:hAnsi="方正楷体_GBK" w:eastAsia="方正楷体_GBK" w:cs="方正楷体_GBK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方正楷体_GBK" w:hAnsi="方正楷体_GBK" w:eastAsia="方正楷体_GBK" w:cs="方正楷体_GBK"/>
                <w:sz w:val="21"/>
                <w:szCs w:val="21"/>
                <w:vertAlign w:val="baseline"/>
                <w:lang w:eastAsia="zh-CN"/>
              </w:rPr>
              <w:t>项目实施方案</w:t>
            </w:r>
          </w:p>
          <w:p>
            <w:pPr>
              <w:rPr>
                <w:rFonts w:hint="eastAsia" w:ascii="方正楷体_GBK" w:hAnsi="方正楷体_GBK" w:eastAsia="方正楷体_GBK" w:cs="方正楷体_GBK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方正楷体_GBK" w:hAnsi="方正楷体_GBK" w:eastAsia="方正楷体_GBK" w:cs="方正楷体_GBK"/>
                <w:sz w:val="21"/>
                <w:szCs w:val="21"/>
                <w:vertAlign w:val="baseline"/>
                <w:lang w:eastAsia="zh-CN"/>
              </w:rPr>
              <w:t>（满分</w:t>
            </w:r>
            <w:r>
              <w:rPr>
                <w:rFonts w:hint="eastAsia" w:ascii="方正楷体_GBK" w:hAnsi="方正楷体_GBK" w:eastAsia="方正楷体_GBK" w:cs="方正楷体_GBK"/>
                <w:sz w:val="21"/>
                <w:szCs w:val="21"/>
                <w:vertAlign w:val="baseline"/>
                <w:lang w:val="en-US" w:eastAsia="zh-CN"/>
              </w:rPr>
              <w:t>15</w:t>
            </w:r>
            <w:r>
              <w:rPr>
                <w:rFonts w:hint="eastAsia" w:ascii="方正楷体_GBK" w:hAnsi="方正楷体_GBK" w:eastAsia="方正楷体_GBK" w:cs="方正楷体_GBK"/>
                <w:sz w:val="21"/>
                <w:szCs w:val="21"/>
                <w:vertAlign w:val="baseline"/>
                <w:lang w:eastAsia="zh-CN"/>
              </w:rPr>
              <w:t>分）</w:t>
            </w:r>
          </w:p>
        </w:tc>
        <w:tc>
          <w:tcPr>
            <w:tcW w:w="7921" w:type="dxa"/>
          </w:tcPr>
          <w:p>
            <w:pPr>
              <w:rPr>
                <w:rFonts w:hint="eastAsia" w:ascii="方正楷体_GBK" w:hAnsi="方正楷体_GBK" w:eastAsia="方正楷体_GBK" w:cs="方正楷体_GBK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方正楷体_GBK" w:hAnsi="方正楷体_GBK" w:eastAsia="方正楷体_GBK" w:cs="方正楷体_GBK"/>
                <w:sz w:val="21"/>
                <w:szCs w:val="21"/>
                <w:vertAlign w:val="baseline"/>
                <w:lang w:eastAsia="zh-CN"/>
              </w:rPr>
              <w:t>第一个档次（12-15）分：项目安全管理、应急解决方案有具体措施，保障措施具体，未发生安全事故，提供证明材料，实施方案整体编制优；</w:t>
            </w:r>
          </w:p>
          <w:p>
            <w:pPr>
              <w:rPr>
                <w:rFonts w:hint="eastAsia" w:ascii="方正楷体_GBK" w:hAnsi="方正楷体_GBK" w:eastAsia="方正楷体_GBK" w:cs="方正楷体_GBK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方正楷体_GBK" w:hAnsi="方正楷体_GBK" w:eastAsia="方正楷体_GBK" w:cs="方正楷体_GBK"/>
                <w:sz w:val="21"/>
                <w:szCs w:val="21"/>
                <w:vertAlign w:val="baseline"/>
                <w:lang w:eastAsia="zh-CN"/>
              </w:rPr>
              <w:t>第二个档次（8-11）分：项目安全管理、应急解决方案有具体措施，保障措施具体，未发生安全事故，提供证明材料，实施方案整体编制良好；</w:t>
            </w:r>
          </w:p>
          <w:p>
            <w:pPr>
              <w:rPr>
                <w:rFonts w:hint="eastAsia" w:ascii="方正楷体_GBK" w:hAnsi="方正楷体_GBK" w:eastAsia="方正楷体_GBK" w:cs="方正楷体_GBK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方正楷体_GBK" w:hAnsi="方正楷体_GBK" w:eastAsia="方正楷体_GBK" w:cs="方正楷体_GBK"/>
                <w:sz w:val="21"/>
                <w:szCs w:val="21"/>
                <w:vertAlign w:val="baseline"/>
                <w:lang w:eastAsia="zh-CN"/>
              </w:rPr>
              <w:t>第三个档次（4-7）分：项目安全管理、应急解决方案有具体措施，保障措施具体，未发生安全事故，提供证明材料，实施方案整体编制良好；</w:t>
            </w:r>
          </w:p>
          <w:p>
            <w:pPr>
              <w:rPr>
                <w:rFonts w:hint="eastAsia" w:ascii="方正楷体_GBK" w:hAnsi="方正楷体_GBK" w:eastAsia="方正楷体_GBK" w:cs="方正楷体_GBK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方正楷体_GBK" w:hAnsi="方正楷体_GBK" w:eastAsia="方正楷体_GBK" w:cs="方正楷体_GBK"/>
                <w:sz w:val="21"/>
                <w:szCs w:val="21"/>
                <w:vertAlign w:val="baseline"/>
                <w:lang w:eastAsia="zh-CN"/>
              </w:rPr>
              <w:t>第四个档次（0-3）分：项目安全管理、保障措施和实施方案差，未提供证明材料。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97" w:type="dxa"/>
            <w:vMerge w:val="continue"/>
          </w:tcPr>
          <w:p>
            <w:pPr>
              <w:rPr>
                <w:rFonts w:hint="eastAsia" w:ascii="方正楷体_GBK" w:hAnsi="方正楷体_GBK" w:eastAsia="方正楷体_GBK" w:cs="方正楷体_GBK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750" w:type="dxa"/>
          </w:tcPr>
          <w:p>
            <w:pPr>
              <w:rPr>
                <w:rFonts w:hint="eastAsia" w:ascii="方正楷体_GBK" w:hAnsi="方正楷体_GBK" w:eastAsia="方正楷体_GBK" w:cs="方正楷体_GBK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方正楷体_GBK" w:hAnsi="方正楷体_GBK" w:eastAsia="方正楷体_GBK" w:cs="方正楷体_GBK"/>
                <w:sz w:val="21"/>
                <w:szCs w:val="21"/>
                <w:vertAlign w:val="baseline"/>
                <w:lang w:eastAsia="zh-CN"/>
              </w:rPr>
              <w:t>车辆配备</w:t>
            </w:r>
          </w:p>
          <w:p>
            <w:pPr>
              <w:rPr>
                <w:rFonts w:hint="eastAsia" w:ascii="方正楷体_GBK" w:hAnsi="方正楷体_GBK" w:eastAsia="方正楷体_GBK" w:cs="方正楷体_GBK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方正楷体_GBK" w:hAnsi="方正楷体_GBK" w:eastAsia="方正楷体_GBK" w:cs="方正楷体_GBK"/>
                <w:sz w:val="21"/>
                <w:szCs w:val="21"/>
                <w:vertAlign w:val="baseline"/>
                <w:lang w:eastAsia="zh-CN"/>
              </w:rPr>
              <w:t>（满分</w:t>
            </w:r>
            <w:r>
              <w:rPr>
                <w:rFonts w:hint="eastAsia" w:ascii="方正楷体_GBK" w:hAnsi="方正楷体_GBK" w:eastAsia="方正楷体_GBK" w:cs="方正楷体_GBK"/>
                <w:sz w:val="21"/>
                <w:szCs w:val="21"/>
                <w:vertAlign w:val="baseline"/>
                <w:lang w:val="en-US" w:eastAsia="zh-CN"/>
              </w:rPr>
              <w:t>15</w:t>
            </w:r>
            <w:r>
              <w:rPr>
                <w:rFonts w:hint="eastAsia" w:ascii="方正楷体_GBK" w:hAnsi="方正楷体_GBK" w:eastAsia="方正楷体_GBK" w:cs="方正楷体_GBK"/>
                <w:sz w:val="21"/>
                <w:szCs w:val="21"/>
                <w:vertAlign w:val="baseline"/>
                <w:lang w:eastAsia="zh-CN"/>
              </w:rPr>
              <w:t>分）</w:t>
            </w:r>
          </w:p>
        </w:tc>
        <w:tc>
          <w:tcPr>
            <w:tcW w:w="7921" w:type="dxa"/>
          </w:tcPr>
          <w:p>
            <w:pPr>
              <w:rPr>
                <w:rFonts w:hint="eastAsia" w:ascii="方正楷体_GBK" w:hAnsi="方正楷体_GBK" w:eastAsia="方正楷体_GBK" w:cs="方正楷体_GBK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方正楷体_GBK" w:hAnsi="方正楷体_GBK" w:eastAsia="方正楷体_GBK" w:cs="方正楷体_GBK"/>
                <w:sz w:val="21"/>
                <w:szCs w:val="21"/>
                <w:vertAlign w:val="baseline"/>
                <w:lang w:eastAsia="zh-CN"/>
              </w:rPr>
              <w:t>第一个档次（</w:t>
            </w:r>
            <w:r>
              <w:rPr>
                <w:rFonts w:hint="eastAsia" w:ascii="方正楷体_GBK" w:hAnsi="方正楷体_GBK" w:eastAsia="方正楷体_GBK" w:cs="方正楷体_GBK"/>
                <w:sz w:val="21"/>
                <w:szCs w:val="21"/>
                <w:vertAlign w:val="baseline"/>
                <w:lang w:val="en-US" w:eastAsia="zh-CN"/>
              </w:rPr>
              <w:t>10</w:t>
            </w:r>
            <w:r>
              <w:rPr>
                <w:rFonts w:hint="eastAsia" w:ascii="方正楷体_GBK" w:hAnsi="方正楷体_GBK" w:eastAsia="方正楷体_GBK" w:cs="方正楷体_GBK"/>
                <w:sz w:val="21"/>
                <w:szCs w:val="21"/>
                <w:vertAlign w:val="baseline"/>
                <w:lang w:eastAsia="zh-CN"/>
              </w:rPr>
              <w:t>-</w:t>
            </w:r>
            <w:r>
              <w:rPr>
                <w:rFonts w:hint="eastAsia" w:ascii="方正楷体_GBK" w:hAnsi="方正楷体_GBK" w:eastAsia="方正楷体_GBK" w:cs="方正楷体_GBK"/>
                <w:sz w:val="21"/>
                <w:szCs w:val="21"/>
                <w:vertAlign w:val="baseline"/>
                <w:lang w:val="en-US" w:eastAsia="zh-CN"/>
              </w:rPr>
              <w:t>15</w:t>
            </w:r>
            <w:r>
              <w:rPr>
                <w:rFonts w:hint="eastAsia" w:ascii="方正楷体_GBK" w:hAnsi="方正楷体_GBK" w:eastAsia="方正楷体_GBK" w:cs="方正楷体_GBK"/>
                <w:sz w:val="21"/>
                <w:szCs w:val="21"/>
                <w:vertAlign w:val="baseline"/>
                <w:lang w:eastAsia="zh-CN"/>
              </w:rPr>
              <w:t>分）项目车辆配备优于要求；</w:t>
            </w:r>
          </w:p>
          <w:p>
            <w:pPr>
              <w:rPr>
                <w:rFonts w:hint="eastAsia" w:ascii="方正楷体_GBK" w:hAnsi="方正楷体_GBK" w:eastAsia="方正楷体_GBK" w:cs="方正楷体_GBK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方正楷体_GBK" w:hAnsi="方正楷体_GBK" w:eastAsia="方正楷体_GBK" w:cs="方正楷体_GBK"/>
                <w:sz w:val="21"/>
                <w:szCs w:val="21"/>
                <w:vertAlign w:val="baseline"/>
                <w:lang w:eastAsia="zh-CN"/>
              </w:rPr>
              <w:t>第二个档次（0-</w:t>
            </w:r>
            <w:r>
              <w:rPr>
                <w:rFonts w:hint="eastAsia" w:ascii="方正楷体_GBK" w:hAnsi="方正楷体_GBK" w:eastAsia="方正楷体_GBK" w:cs="方正楷体_GBK"/>
                <w:sz w:val="21"/>
                <w:szCs w:val="21"/>
                <w:vertAlign w:val="baseline"/>
                <w:lang w:val="en-US" w:eastAsia="zh-CN"/>
              </w:rPr>
              <w:t>9</w:t>
            </w:r>
            <w:r>
              <w:rPr>
                <w:rFonts w:hint="eastAsia" w:ascii="方正楷体_GBK" w:hAnsi="方正楷体_GBK" w:eastAsia="方正楷体_GBK" w:cs="方正楷体_GBK"/>
                <w:sz w:val="21"/>
                <w:szCs w:val="21"/>
                <w:vertAlign w:val="baseline"/>
                <w:lang w:eastAsia="zh-CN"/>
              </w:rPr>
              <w:t>分）项目车辆配备有1项不满足要求扣</w:t>
            </w:r>
            <w:r>
              <w:rPr>
                <w:rFonts w:hint="eastAsia" w:ascii="方正楷体_GBK" w:hAnsi="方正楷体_GBK" w:eastAsia="方正楷体_GBK" w:cs="方正楷体_GBK"/>
                <w:sz w:val="21"/>
                <w:szCs w:val="21"/>
                <w:vertAlign w:val="baseline"/>
                <w:lang w:val="en-US" w:eastAsia="zh-CN"/>
              </w:rPr>
              <w:t>3</w:t>
            </w:r>
            <w:r>
              <w:rPr>
                <w:rFonts w:hint="eastAsia" w:ascii="方正楷体_GBK" w:hAnsi="方正楷体_GBK" w:eastAsia="方正楷体_GBK" w:cs="方正楷体_GBK"/>
                <w:sz w:val="21"/>
                <w:szCs w:val="21"/>
                <w:vertAlign w:val="baseline"/>
                <w:lang w:eastAsia="zh-CN"/>
              </w:rPr>
              <w:t>分，扣完为止。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97" w:type="dxa"/>
            <w:vMerge w:val="continue"/>
          </w:tcPr>
          <w:p>
            <w:pPr>
              <w:rPr>
                <w:rFonts w:hint="eastAsia" w:ascii="方正楷体_GBK" w:hAnsi="方正楷体_GBK" w:eastAsia="方正楷体_GBK" w:cs="方正楷体_GBK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750" w:type="dxa"/>
          </w:tcPr>
          <w:p>
            <w:pPr>
              <w:rPr>
                <w:rFonts w:hint="eastAsia" w:ascii="方正楷体_GBK" w:hAnsi="方正楷体_GBK" w:eastAsia="方正楷体_GBK" w:cs="方正楷体_GBK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方正楷体_GBK" w:hAnsi="方正楷体_GBK" w:eastAsia="方正楷体_GBK" w:cs="方正楷体_GBK"/>
                <w:sz w:val="21"/>
                <w:szCs w:val="21"/>
                <w:vertAlign w:val="baseline"/>
                <w:lang w:eastAsia="zh-CN"/>
              </w:rPr>
              <w:t>拟派人员</w:t>
            </w:r>
          </w:p>
          <w:p>
            <w:pPr>
              <w:rPr>
                <w:rFonts w:hint="eastAsia" w:ascii="方正楷体_GBK" w:hAnsi="方正楷体_GBK" w:eastAsia="方正楷体_GBK" w:cs="方正楷体_GBK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方正楷体_GBK" w:hAnsi="方正楷体_GBK" w:eastAsia="方正楷体_GBK" w:cs="方正楷体_GBK"/>
                <w:sz w:val="21"/>
                <w:szCs w:val="21"/>
                <w:vertAlign w:val="baseline"/>
                <w:lang w:eastAsia="zh-CN"/>
              </w:rPr>
              <w:t>（满分</w:t>
            </w:r>
            <w:r>
              <w:rPr>
                <w:rFonts w:hint="eastAsia" w:ascii="方正楷体_GBK" w:hAnsi="方正楷体_GBK" w:eastAsia="方正楷体_GBK" w:cs="方正楷体_GBK"/>
                <w:sz w:val="21"/>
                <w:szCs w:val="21"/>
                <w:vertAlign w:val="baseline"/>
                <w:lang w:val="en-US" w:eastAsia="zh-CN"/>
              </w:rPr>
              <w:t>10</w:t>
            </w:r>
            <w:r>
              <w:rPr>
                <w:rFonts w:hint="eastAsia" w:ascii="方正楷体_GBK" w:hAnsi="方正楷体_GBK" w:eastAsia="方正楷体_GBK" w:cs="方正楷体_GBK"/>
                <w:sz w:val="21"/>
                <w:szCs w:val="21"/>
                <w:vertAlign w:val="baseline"/>
                <w:lang w:eastAsia="zh-CN"/>
              </w:rPr>
              <w:t>分）</w:t>
            </w:r>
          </w:p>
        </w:tc>
        <w:tc>
          <w:tcPr>
            <w:tcW w:w="7921" w:type="dxa"/>
          </w:tcPr>
          <w:p>
            <w:pPr>
              <w:rPr>
                <w:rFonts w:hint="eastAsia" w:ascii="方正楷体_GBK" w:hAnsi="方正楷体_GBK" w:eastAsia="方正楷体_GBK" w:cs="方正楷体_GBK"/>
                <w:sz w:val="21"/>
                <w:szCs w:val="21"/>
                <w:vertAlign w:val="baseline"/>
                <w:lang w:eastAsia="zh-CN"/>
              </w:rPr>
            </w:pPr>
            <w:bookmarkStart w:id="0" w:name="OLE_LINK1"/>
            <w:r>
              <w:rPr>
                <w:rFonts w:hint="eastAsia" w:ascii="方正楷体_GBK" w:hAnsi="方正楷体_GBK" w:eastAsia="方正楷体_GBK" w:cs="方正楷体_GBK"/>
                <w:sz w:val="21"/>
                <w:szCs w:val="21"/>
                <w:vertAlign w:val="baseline"/>
                <w:lang w:eastAsia="zh-CN"/>
              </w:rPr>
              <w:t>第一个档次（</w:t>
            </w:r>
            <w:r>
              <w:rPr>
                <w:rFonts w:hint="eastAsia" w:ascii="方正楷体_GBK" w:hAnsi="方正楷体_GBK" w:eastAsia="方正楷体_GBK" w:cs="方正楷体_GBK"/>
                <w:sz w:val="21"/>
                <w:szCs w:val="21"/>
                <w:vertAlign w:val="baseline"/>
                <w:lang w:val="en-US" w:eastAsia="zh-CN"/>
              </w:rPr>
              <w:t>8-10</w:t>
            </w:r>
            <w:r>
              <w:rPr>
                <w:rFonts w:hint="eastAsia" w:ascii="方正楷体_GBK" w:hAnsi="方正楷体_GBK" w:eastAsia="方正楷体_GBK" w:cs="方正楷体_GBK"/>
                <w:sz w:val="21"/>
                <w:szCs w:val="21"/>
                <w:vertAlign w:val="baseline"/>
                <w:lang w:eastAsia="zh-CN"/>
              </w:rPr>
              <w:t>）分：拟派人员配置齐全，人员证书齐全，且有针对性；</w:t>
            </w:r>
          </w:p>
          <w:p>
            <w:pPr>
              <w:rPr>
                <w:rFonts w:hint="eastAsia" w:ascii="方正楷体_GBK" w:hAnsi="方正楷体_GBK" w:eastAsia="方正楷体_GBK" w:cs="方正楷体_GBK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方正楷体_GBK" w:hAnsi="方正楷体_GBK" w:eastAsia="方正楷体_GBK" w:cs="方正楷体_GBK"/>
                <w:sz w:val="21"/>
                <w:szCs w:val="21"/>
                <w:vertAlign w:val="baseline"/>
                <w:lang w:eastAsia="zh-CN"/>
              </w:rPr>
              <w:t>第二个档次（</w:t>
            </w:r>
            <w:r>
              <w:rPr>
                <w:rFonts w:hint="eastAsia" w:ascii="方正楷体_GBK" w:hAnsi="方正楷体_GBK" w:eastAsia="方正楷体_GBK" w:cs="方正楷体_GBK"/>
                <w:sz w:val="21"/>
                <w:szCs w:val="21"/>
                <w:vertAlign w:val="baseline"/>
                <w:lang w:val="en-US" w:eastAsia="zh-CN"/>
              </w:rPr>
              <w:t>5-7</w:t>
            </w:r>
            <w:r>
              <w:rPr>
                <w:rFonts w:hint="eastAsia" w:ascii="方正楷体_GBK" w:hAnsi="方正楷体_GBK" w:eastAsia="方正楷体_GBK" w:cs="方正楷体_GBK"/>
                <w:sz w:val="21"/>
                <w:szCs w:val="21"/>
                <w:vertAlign w:val="baseline"/>
                <w:lang w:eastAsia="zh-CN"/>
              </w:rPr>
              <w:t>）分：拟派人员配置基本满足需求，人员证书齐全，且有一定针对性；</w:t>
            </w:r>
          </w:p>
          <w:p>
            <w:pPr>
              <w:rPr>
                <w:rFonts w:hint="eastAsia" w:ascii="方正楷体_GBK" w:hAnsi="方正楷体_GBK" w:eastAsia="方正楷体_GBK" w:cs="方正楷体_GBK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方正楷体_GBK" w:hAnsi="方正楷体_GBK" w:eastAsia="方正楷体_GBK" w:cs="方正楷体_GBK"/>
                <w:sz w:val="21"/>
                <w:szCs w:val="21"/>
                <w:vertAlign w:val="baseline"/>
                <w:lang w:eastAsia="zh-CN"/>
              </w:rPr>
              <w:t>第三个档次（</w:t>
            </w:r>
            <w:r>
              <w:rPr>
                <w:rFonts w:hint="eastAsia" w:ascii="方正楷体_GBK" w:hAnsi="方正楷体_GBK" w:eastAsia="方正楷体_GBK" w:cs="方正楷体_GBK"/>
                <w:sz w:val="21"/>
                <w:szCs w:val="21"/>
                <w:vertAlign w:val="baseline"/>
                <w:lang w:val="en-US" w:eastAsia="zh-CN"/>
              </w:rPr>
              <w:t>0-4</w:t>
            </w:r>
            <w:r>
              <w:rPr>
                <w:rFonts w:hint="eastAsia" w:ascii="方正楷体_GBK" w:hAnsi="方正楷体_GBK" w:eastAsia="方正楷体_GBK" w:cs="方正楷体_GBK"/>
                <w:sz w:val="21"/>
                <w:szCs w:val="21"/>
                <w:vertAlign w:val="baseline"/>
                <w:lang w:eastAsia="zh-CN"/>
              </w:rPr>
              <w:t>）分：拟派人员配置不能满足需求，未提供人员证书。</w:t>
            </w:r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97" w:type="dxa"/>
            <w:vMerge w:val="continue"/>
          </w:tcPr>
          <w:p>
            <w:pPr>
              <w:rPr>
                <w:rFonts w:hint="eastAsia" w:ascii="方正楷体_GBK" w:hAnsi="方正楷体_GBK" w:eastAsia="方正楷体_GBK" w:cs="方正楷体_GBK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750" w:type="dxa"/>
          </w:tcPr>
          <w:p>
            <w:pPr>
              <w:rPr>
                <w:rFonts w:hint="eastAsia" w:ascii="方正楷体_GBK" w:hAnsi="方正楷体_GBK" w:eastAsia="方正楷体_GBK" w:cs="方正楷体_GBK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方正楷体_GBK" w:hAnsi="方正楷体_GBK" w:eastAsia="方正楷体_GBK" w:cs="方正楷体_GBK"/>
                <w:sz w:val="21"/>
                <w:szCs w:val="21"/>
                <w:vertAlign w:val="baseline"/>
                <w:lang w:eastAsia="zh-CN"/>
              </w:rPr>
              <w:t>车辆保险</w:t>
            </w:r>
          </w:p>
          <w:p>
            <w:pPr>
              <w:rPr>
                <w:rFonts w:hint="eastAsia" w:ascii="方正楷体_GBK" w:hAnsi="方正楷体_GBK" w:eastAsia="方正楷体_GBK" w:cs="方正楷体_GBK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方正楷体_GBK" w:hAnsi="方正楷体_GBK" w:eastAsia="方正楷体_GBK" w:cs="方正楷体_GBK"/>
                <w:sz w:val="21"/>
                <w:szCs w:val="21"/>
                <w:vertAlign w:val="baseline"/>
                <w:lang w:eastAsia="zh-CN"/>
              </w:rPr>
              <w:t>（满分</w:t>
            </w:r>
            <w:r>
              <w:rPr>
                <w:rFonts w:hint="eastAsia" w:ascii="方正楷体_GBK" w:hAnsi="方正楷体_GBK" w:eastAsia="方正楷体_GBK" w:cs="方正楷体_GBK"/>
                <w:sz w:val="21"/>
                <w:szCs w:val="21"/>
                <w:vertAlign w:val="baseline"/>
                <w:lang w:val="en-US" w:eastAsia="zh-CN"/>
              </w:rPr>
              <w:t>15</w:t>
            </w:r>
            <w:r>
              <w:rPr>
                <w:rFonts w:hint="eastAsia" w:ascii="方正楷体_GBK" w:hAnsi="方正楷体_GBK" w:eastAsia="方正楷体_GBK" w:cs="方正楷体_GBK"/>
                <w:sz w:val="21"/>
                <w:szCs w:val="21"/>
                <w:vertAlign w:val="baseline"/>
                <w:lang w:eastAsia="zh-CN"/>
              </w:rPr>
              <w:t>分）</w:t>
            </w:r>
          </w:p>
        </w:tc>
        <w:tc>
          <w:tcPr>
            <w:tcW w:w="7921" w:type="dxa"/>
          </w:tcPr>
          <w:p>
            <w:pPr>
              <w:rPr>
                <w:rFonts w:hint="eastAsia" w:ascii="方正楷体_GBK" w:hAnsi="方正楷体_GBK" w:eastAsia="方正楷体_GBK" w:cs="方正楷体_GBK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方正楷体_GBK" w:hAnsi="方正楷体_GBK" w:eastAsia="方正楷体_GBK" w:cs="方正楷体_GBK"/>
                <w:sz w:val="21"/>
                <w:szCs w:val="21"/>
                <w:vertAlign w:val="baseline"/>
                <w:lang w:eastAsia="zh-CN"/>
              </w:rPr>
              <w:t>第一个档次（</w:t>
            </w:r>
            <w:r>
              <w:rPr>
                <w:rFonts w:hint="eastAsia" w:ascii="方正楷体_GBK" w:hAnsi="方正楷体_GBK" w:eastAsia="方正楷体_GBK" w:cs="方正楷体_GBK"/>
                <w:sz w:val="21"/>
                <w:szCs w:val="21"/>
                <w:vertAlign w:val="baseline"/>
                <w:lang w:val="en-US" w:eastAsia="zh-CN"/>
              </w:rPr>
              <w:t>12-15</w:t>
            </w:r>
            <w:r>
              <w:rPr>
                <w:rFonts w:hint="eastAsia" w:ascii="方正楷体_GBK" w:hAnsi="方正楷体_GBK" w:eastAsia="方正楷体_GBK" w:cs="方正楷体_GBK"/>
                <w:sz w:val="21"/>
                <w:szCs w:val="21"/>
                <w:vertAlign w:val="baseline"/>
                <w:lang w:eastAsia="zh-CN"/>
              </w:rPr>
              <w:t>）分：车辆保险齐全（包括交强险、第三者责任险及座位险等），车内乘客险每座赔付40万元及以上；</w:t>
            </w:r>
          </w:p>
          <w:p>
            <w:pPr>
              <w:rPr>
                <w:rFonts w:hint="eastAsia" w:ascii="方正楷体_GBK" w:hAnsi="方正楷体_GBK" w:eastAsia="方正楷体_GBK" w:cs="方正楷体_GBK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方正楷体_GBK" w:hAnsi="方正楷体_GBK" w:eastAsia="方正楷体_GBK" w:cs="方正楷体_GBK"/>
                <w:sz w:val="21"/>
                <w:szCs w:val="21"/>
                <w:vertAlign w:val="baseline"/>
                <w:lang w:eastAsia="zh-CN"/>
              </w:rPr>
              <w:t>第二个档次（</w:t>
            </w:r>
            <w:r>
              <w:rPr>
                <w:rFonts w:hint="eastAsia" w:ascii="方正楷体_GBK" w:hAnsi="方正楷体_GBK" w:eastAsia="方正楷体_GBK" w:cs="方正楷体_GBK"/>
                <w:sz w:val="21"/>
                <w:szCs w:val="21"/>
                <w:vertAlign w:val="baseline"/>
                <w:lang w:val="en-US" w:eastAsia="zh-CN"/>
              </w:rPr>
              <w:t>8-11</w:t>
            </w:r>
            <w:r>
              <w:rPr>
                <w:rFonts w:hint="eastAsia" w:ascii="方正楷体_GBK" w:hAnsi="方正楷体_GBK" w:eastAsia="方正楷体_GBK" w:cs="方正楷体_GBK"/>
                <w:sz w:val="21"/>
                <w:szCs w:val="21"/>
                <w:vertAlign w:val="baseline"/>
                <w:lang w:eastAsia="zh-CN"/>
              </w:rPr>
              <w:t>）分：车辆保险齐全（包括交强险、第三者责任险及座位险等），车内乘客险每座赔付30万元及以上；</w:t>
            </w:r>
          </w:p>
          <w:p>
            <w:pPr>
              <w:rPr>
                <w:rFonts w:hint="eastAsia" w:ascii="方正楷体_GBK" w:hAnsi="方正楷体_GBK" w:eastAsia="方正楷体_GBK" w:cs="方正楷体_GBK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方正楷体_GBK" w:hAnsi="方正楷体_GBK" w:eastAsia="方正楷体_GBK" w:cs="方正楷体_GBK"/>
                <w:sz w:val="21"/>
                <w:szCs w:val="21"/>
                <w:vertAlign w:val="baseline"/>
                <w:lang w:eastAsia="zh-CN"/>
              </w:rPr>
              <w:t>第三个档次（</w:t>
            </w:r>
            <w:r>
              <w:rPr>
                <w:rFonts w:hint="eastAsia" w:ascii="方正楷体_GBK" w:hAnsi="方正楷体_GBK" w:eastAsia="方正楷体_GBK" w:cs="方正楷体_GBK"/>
                <w:sz w:val="21"/>
                <w:szCs w:val="21"/>
                <w:vertAlign w:val="baseline"/>
                <w:lang w:val="en-US" w:eastAsia="zh-CN"/>
              </w:rPr>
              <w:t>0-7</w:t>
            </w:r>
            <w:r>
              <w:rPr>
                <w:rFonts w:hint="eastAsia" w:ascii="方正楷体_GBK" w:hAnsi="方正楷体_GBK" w:eastAsia="方正楷体_GBK" w:cs="方正楷体_GBK"/>
                <w:sz w:val="21"/>
                <w:szCs w:val="21"/>
                <w:vertAlign w:val="baseline"/>
                <w:lang w:eastAsia="zh-CN"/>
              </w:rPr>
              <w:t>）分：车辆保险齐全（包括交强险、第三者责任险及座位险等），车内乘客险每座赔付30万元以下。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97" w:type="dxa"/>
            <w:vMerge w:val="continue"/>
          </w:tcPr>
          <w:p>
            <w:pPr>
              <w:rPr>
                <w:rFonts w:hint="eastAsia" w:ascii="方正楷体_GBK" w:hAnsi="方正楷体_GBK" w:eastAsia="方正楷体_GBK" w:cs="方正楷体_GBK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750" w:type="dxa"/>
          </w:tcPr>
          <w:p>
            <w:pPr>
              <w:rPr>
                <w:rFonts w:hint="eastAsia" w:ascii="方正楷体_GBK" w:hAnsi="方正楷体_GBK" w:eastAsia="方正楷体_GBK" w:cs="方正楷体_GBK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方正楷体_GBK" w:hAnsi="方正楷体_GBK" w:eastAsia="方正楷体_GBK" w:cs="方正楷体_GBK"/>
                <w:sz w:val="21"/>
                <w:szCs w:val="21"/>
                <w:vertAlign w:val="baseline"/>
                <w:lang w:eastAsia="zh-CN"/>
              </w:rPr>
              <w:t>服务承诺</w:t>
            </w:r>
          </w:p>
          <w:p>
            <w:pPr>
              <w:rPr>
                <w:rFonts w:hint="eastAsia" w:ascii="方正楷体_GBK" w:hAnsi="方正楷体_GBK" w:eastAsia="方正楷体_GBK" w:cs="方正楷体_GBK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方正楷体_GBK" w:hAnsi="方正楷体_GBK" w:eastAsia="方正楷体_GBK" w:cs="方正楷体_GBK"/>
                <w:sz w:val="21"/>
                <w:szCs w:val="21"/>
                <w:vertAlign w:val="baseline"/>
                <w:lang w:eastAsia="zh-CN"/>
              </w:rPr>
              <w:t>（满分</w:t>
            </w:r>
            <w:r>
              <w:rPr>
                <w:rFonts w:hint="eastAsia" w:ascii="方正楷体_GBK" w:hAnsi="方正楷体_GBK" w:eastAsia="方正楷体_GBK" w:cs="方正楷体_GBK"/>
                <w:sz w:val="21"/>
                <w:szCs w:val="21"/>
                <w:vertAlign w:val="baseline"/>
                <w:lang w:val="en-US" w:eastAsia="zh-CN"/>
              </w:rPr>
              <w:t>1</w:t>
            </w:r>
            <w:r>
              <w:rPr>
                <w:rFonts w:hint="eastAsia" w:ascii="方正楷体_GBK" w:hAnsi="方正楷体_GBK" w:eastAsia="方正楷体_GBK" w:cs="方正楷体_GBK"/>
                <w:sz w:val="21"/>
                <w:szCs w:val="21"/>
                <w:vertAlign w:val="baseline"/>
                <w:lang w:eastAsia="zh-CN"/>
              </w:rPr>
              <w:t>0分）</w:t>
            </w:r>
          </w:p>
        </w:tc>
        <w:tc>
          <w:tcPr>
            <w:tcW w:w="7921" w:type="dxa"/>
          </w:tcPr>
          <w:p>
            <w:pPr>
              <w:rPr>
                <w:rFonts w:hint="eastAsia" w:ascii="方正楷体_GBK" w:hAnsi="方正楷体_GBK" w:eastAsia="方正楷体_GBK" w:cs="方正楷体_GBK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方正楷体_GBK" w:hAnsi="方正楷体_GBK" w:eastAsia="方正楷体_GBK" w:cs="方正楷体_GBK"/>
                <w:sz w:val="21"/>
                <w:szCs w:val="21"/>
                <w:vertAlign w:val="baseline"/>
                <w:lang w:eastAsia="zh-CN"/>
              </w:rPr>
              <w:t>第一个档次（</w:t>
            </w:r>
            <w:r>
              <w:rPr>
                <w:rFonts w:hint="eastAsia" w:ascii="方正楷体_GBK" w:hAnsi="方正楷体_GBK" w:eastAsia="方正楷体_GBK" w:cs="方正楷体_GBK"/>
                <w:sz w:val="21"/>
                <w:szCs w:val="21"/>
                <w:vertAlign w:val="baseline"/>
                <w:lang w:val="en-US" w:eastAsia="zh-CN"/>
              </w:rPr>
              <w:t>8-10</w:t>
            </w:r>
            <w:r>
              <w:rPr>
                <w:rFonts w:hint="eastAsia" w:ascii="方正楷体_GBK" w:hAnsi="方正楷体_GBK" w:eastAsia="方正楷体_GBK" w:cs="方正楷体_GBK"/>
                <w:sz w:val="21"/>
                <w:szCs w:val="21"/>
                <w:vertAlign w:val="baseline"/>
                <w:lang w:eastAsia="zh-CN"/>
              </w:rPr>
              <w:t>）分：服务承诺完善具体，有具体违约承诺，针对性强；</w:t>
            </w:r>
          </w:p>
          <w:p>
            <w:pPr>
              <w:rPr>
                <w:rFonts w:hint="eastAsia" w:ascii="方正楷体_GBK" w:hAnsi="方正楷体_GBK" w:eastAsia="方正楷体_GBK" w:cs="方正楷体_GBK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方正楷体_GBK" w:hAnsi="方正楷体_GBK" w:eastAsia="方正楷体_GBK" w:cs="方正楷体_GBK"/>
                <w:sz w:val="21"/>
                <w:szCs w:val="21"/>
                <w:vertAlign w:val="baseline"/>
                <w:lang w:eastAsia="zh-CN"/>
              </w:rPr>
              <w:t>第二个档次（</w:t>
            </w:r>
            <w:r>
              <w:rPr>
                <w:rFonts w:hint="eastAsia" w:ascii="方正楷体_GBK" w:hAnsi="方正楷体_GBK" w:eastAsia="方正楷体_GBK" w:cs="方正楷体_GBK"/>
                <w:sz w:val="21"/>
                <w:szCs w:val="21"/>
                <w:vertAlign w:val="baseline"/>
                <w:lang w:val="en-US" w:eastAsia="zh-CN"/>
              </w:rPr>
              <w:t>5-7</w:t>
            </w:r>
            <w:r>
              <w:rPr>
                <w:rFonts w:hint="eastAsia" w:ascii="方正楷体_GBK" w:hAnsi="方正楷体_GBK" w:eastAsia="方正楷体_GBK" w:cs="方正楷体_GBK"/>
                <w:sz w:val="21"/>
                <w:szCs w:val="21"/>
                <w:vertAlign w:val="baseline"/>
                <w:lang w:eastAsia="zh-CN"/>
              </w:rPr>
              <w:t>）分：服务承诺具体可行，有具体违约承诺，有一定的针对性；</w:t>
            </w:r>
          </w:p>
          <w:p>
            <w:pPr>
              <w:rPr>
                <w:rFonts w:hint="eastAsia" w:ascii="方正楷体_GBK" w:hAnsi="方正楷体_GBK" w:eastAsia="方正楷体_GBK" w:cs="方正楷体_GBK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方正楷体_GBK" w:hAnsi="方正楷体_GBK" w:eastAsia="方正楷体_GBK" w:cs="方正楷体_GBK"/>
                <w:sz w:val="21"/>
                <w:szCs w:val="21"/>
                <w:vertAlign w:val="baseline"/>
                <w:lang w:eastAsia="zh-CN"/>
              </w:rPr>
              <w:t>第三个档次（</w:t>
            </w:r>
            <w:r>
              <w:rPr>
                <w:rFonts w:hint="eastAsia" w:ascii="方正楷体_GBK" w:hAnsi="方正楷体_GBK" w:eastAsia="方正楷体_GBK" w:cs="方正楷体_GBK"/>
                <w:sz w:val="21"/>
                <w:szCs w:val="21"/>
                <w:vertAlign w:val="baseline"/>
                <w:lang w:val="en-US" w:eastAsia="zh-CN"/>
              </w:rPr>
              <w:t>0-4</w:t>
            </w:r>
            <w:r>
              <w:rPr>
                <w:rFonts w:hint="eastAsia" w:ascii="方正楷体_GBK" w:hAnsi="方正楷体_GBK" w:eastAsia="方正楷体_GBK" w:cs="方正楷体_GBK"/>
                <w:sz w:val="21"/>
                <w:szCs w:val="21"/>
                <w:vertAlign w:val="baseline"/>
                <w:lang w:eastAsia="zh-CN"/>
              </w:rPr>
              <w:t>）分：服务承诺基本可行，但缺乏针对性。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97" w:type="dxa"/>
            <w:vMerge w:val="continue"/>
          </w:tcPr>
          <w:p>
            <w:pPr>
              <w:rPr>
                <w:rFonts w:hint="eastAsia" w:ascii="方正楷体_GBK" w:hAnsi="方正楷体_GBK" w:eastAsia="方正楷体_GBK" w:cs="方正楷体_GBK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750" w:type="dxa"/>
          </w:tcPr>
          <w:p>
            <w:pPr>
              <w:rPr>
                <w:rFonts w:hint="eastAsia" w:ascii="方正楷体_GBK" w:hAnsi="方正楷体_GBK" w:eastAsia="方正楷体_GBK" w:cs="方正楷体_GBK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方正楷体_GBK" w:hAnsi="方正楷体_GBK" w:eastAsia="方正楷体_GBK" w:cs="方正楷体_GBK"/>
                <w:sz w:val="21"/>
                <w:szCs w:val="21"/>
                <w:vertAlign w:val="baseline"/>
                <w:lang w:eastAsia="zh-CN"/>
              </w:rPr>
              <w:t>业绩</w:t>
            </w:r>
          </w:p>
          <w:p>
            <w:pPr>
              <w:rPr>
                <w:rFonts w:hint="eastAsia" w:ascii="方正楷体_GBK" w:hAnsi="方正楷体_GBK" w:eastAsia="方正楷体_GBK" w:cs="方正楷体_GBK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方正楷体_GBK" w:hAnsi="方正楷体_GBK" w:eastAsia="方正楷体_GBK" w:cs="方正楷体_GBK"/>
                <w:sz w:val="21"/>
                <w:szCs w:val="21"/>
                <w:vertAlign w:val="baseline"/>
                <w:lang w:eastAsia="zh-CN"/>
              </w:rPr>
              <w:t>（满分</w:t>
            </w:r>
            <w:r>
              <w:rPr>
                <w:rFonts w:hint="eastAsia" w:ascii="方正楷体_GBK" w:hAnsi="方正楷体_GBK" w:eastAsia="方正楷体_GBK" w:cs="方正楷体_GBK"/>
                <w:sz w:val="21"/>
                <w:szCs w:val="21"/>
                <w:vertAlign w:val="baseline"/>
                <w:lang w:val="en-US" w:eastAsia="zh-CN"/>
              </w:rPr>
              <w:t>5</w:t>
            </w:r>
            <w:r>
              <w:rPr>
                <w:rFonts w:hint="eastAsia" w:ascii="方正楷体_GBK" w:hAnsi="方正楷体_GBK" w:eastAsia="方正楷体_GBK" w:cs="方正楷体_GBK"/>
                <w:sz w:val="21"/>
                <w:szCs w:val="21"/>
                <w:vertAlign w:val="baseline"/>
                <w:lang w:eastAsia="zh-CN"/>
              </w:rPr>
              <w:t>分）</w:t>
            </w:r>
          </w:p>
        </w:tc>
        <w:tc>
          <w:tcPr>
            <w:tcW w:w="7921" w:type="dxa"/>
          </w:tcPr>
          <w:p>
            <w:pPr>
              <w:rPr>
                <w:rFonts w:hint="eastAsia" w:ascii="方正楷体_GBK" w:hAnsi="方正楷体_GBK" w:eastAsia="方正楷体_GBK" w:cs="方正楷体_GBK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方正楷体_GBK" w:hAnsi="方正楷体_GBK" w:eastAsia="方正楷体_GBK" w:cs="方正楷体_GBK"/>
                <w:sz w:val="21"/>
                <w:szCs w:val="21"/>
                <w:vertAlign w:val="baseline"/>
                <w:lang w:eastAsia="zh-CN"/>
              </w:rPr>
              <w:t>评标委员会根据各投标人提供的类似项目业绩（2017年1月1日至今的类似项目）进行评审，提供1个业绩证明材料得</w:t>
            </w:r>
            <w:r>
              <w:rPr>
                <w:rFonts w:hint="eastAsia" w:ascii="方正楷体_GBK" w:hAnsi="方正楷体_GBK" w:eastAsia="方正楷体_GBK" w:cs="方正楷体_GBK"/>
                <w:sz w:val="21"/>
                <w:szCs w:val="21"/>
                <w:vertAlign w:val="baseline"/>
                <w:lang w:val="en-US" w:eastAsia="zh-CN"/>
              </w:rPr>
              <w:t>1</w:t>
            </w:r>
            <w:r>
              <w:rPr>
                <w:rFonts w:hint="eastAsia" w:ascii="方正楷体_GBK" w:hAnsi="方正楷体_GBK" w:eastAsia="方正楷体_GBK" w:cs="方正楷体_GBK"/>
                <w:sz w:val="21"/>
                <w:szCs w:val="21"/>
                <w:vertAlign w:val="baseline"/>
                <w:lang w:eastAsia="zh-CN"/>
              </w:rPr>
              <w:t>分，以此类推，满分</w:t>
            </w:r>
            <w:r>
              <w:rPr>
                <w:rFonts w:hint="eastAsia" w:ascii="方正楷体_GBK" w:hAnsi="方正楷体_GBK" w:eastAsia="方正楷体_GBK" w:cs="方正楷体_GBK"/>
                <w:sz w:val="21"/>
                <w:szCs w:val="21"/>
                <w:vertAlign w:val="baseline"/>
                <w:lang w:val="en-US" w:eastAsia="zh-CN"/>
              </w:rPr>
              <w:t>5</w:t>
            </w:r>
            <w:r>
              <w:rPr>
                <w:rFonts w:hint="eastAsia" w:ascii="方正楷体_GBK" w:hAnsi="方正楷体_GBK" w:eastAsia="方正楷体_GBK" w:cs="方正楷体_GBK"/>
                <w:sz w:val="21"/>
                <w:szCs w:val="21"/>
                <w:vertAlign w:val="baseline"/>
                <w:lang w:eastAsia="zh-CN"/>
              </w:rPr>
              <w:t>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97" w:type="dxa"/>
          </w:tcPr>
          <w:p>
            <w:pPr>
              <w:rPr>
                <w:rFonts w:hint="eastAsia" w:ascii="方正楷体_GBK" w:hAnsi="方正楷体_GBK" w:eastAsia="方正楷体_GBK" w:cs="方正楷体_GBK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方正楷体_GBK" w:hAnsi="方正楷体_GBK" w:eastAsia="方正楷体_GBK" w:cs="方正楷体_GBK"/>
                <w:sz w:val="21"/>
                <w:szCs w:val="21"/>
                <w:vertAlign w:val="baseline"/>
                <w:lang w:eastAsia="zh-CN"/>
              </w:rPr>
              <w:t>商务部分</w:t>
            </w:r>
          </w:p>
        </w:tc>
        <w:tc>
          <w:tcPr>
            <w:tcW w:w="1750" w:type="dxa"/>
          </w:tcPr>
          <w:p>
            <w:pPr>
              <w:rPr>
                <w:rFonts w:hint="eastAsia" w:ascii="方正楷体_GBK" w:hAnsi="方正楷体_GBK" w:eastAsia="方正楷体_GBK" w:cs="方正楷体_GBK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方正楷体_GBK" w:hAnsi="方正楷体_GBK" w:eastAsia="方正楷体_GBK" w:cs="方正楷体_GBK"/>
                <w:sz w:val="21"/>
                <w:szCs w:val="21"/>
                <w:vertAlign w:val="baseline"/>
                <w:lang w:eastAsia="zh-CN"/>
              </w:rPr>
              <w:t>商务要求</w:t>
            </w:r>
          </w:p>
          <w:p>
            <w:pPr>
              <w:rPr>
                <w:rFonts w:hint="eastAsia" w:ascii="方正楷体_GBK" w:hAnsi="方正楷体_GBK" w:eastAsia="方正楷体_GBK" w:cs="方正楷体_GBK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方正楷体_GBK" w:hAnsi="方正楷体_GBK" w:eastAsia="方正楷体_GBK" w:cs="方正楷体_GBK"/>
                <w:sz w:val="21"/>
                <w:szCs w:val="21"/>
                <w:vertAlign w:val="baseline"/>
                <w:lang w:eastAsia="zh-CN"/>
              </w:rPr>
              <w:t>（满分</w:t>
            </w:r>
            <w:r>
              <w:rPr>
                <w:rFonts w:hint="eastAsia" w:ascii="方正楷体_GBK" w:hAnsi="方正楷体_GBK" w:eastAsia="方正楷体_GBK" w:cs="方正楷体_GBK"/>
                <w:sz w:val="21"/>
                <w:szCs w:val="21"/>
                <w:vertAlign w:val="baseline"/>
                <w:lang w:val="en-US" w:eastAsia="zh-CN"/>
              </w:rPr>
              <w:t>10分</w:t>
            </w:r>
            <w:r>
              <w:rPr>
                <w:rFonts w:hint="eastAsia" w:ascii="方正楷体_GBK" w:hAnsi="方正楷体_GBK" w:eastAsia="方正楷体_GBK" w:cs="方正楷体_GBK"/>
                <w:sz w:val="21"/>
                <w:szCs w:val="21"/>
                <w:vertAlign w:val="baseline"/>
                <w:lang w:eastAsia="zh-CN"/>
              </w:rPr>
              <w:t>）</w:t>
            </w:r>
          </w:p>
        </w:tc>
        <w:tc>
          <w:tcPr>
            <w:tcW w:w="7921" w:type="dxa"/>
          </w:tcPr>
          <w:p>
            <w:pPr>
              <w:rPr>
                <w:rFonts w:hint="default" w:ascii="方正楷体_GBK" w:hAnsi="方正楷体_GBK" w:eastAsia="方正楷体_GBK" w:cs="方正楷体_GBK"/>
                <w:sz w:val="21"/>
                <w:szCs w:val="21"/>
                <w:vertAlign w:val="baseline"/>
                <w:lang w:val="en-US" w:eastAsia="zh-CN"/>
              </w:rPr>
            </w:pPr>
            <w:bookmarkStart w:id="1" w:name="_GoBack"/>
            <w:r>
              <w:rPr>
                <w:rFonts w:hint="eastAsia" w:ascii="方正楷体_GBK" w:hAnsi="方正楷体_GBK" w:eastAsia="方正楷体_GBK" w:cs="方正楷体_GBK"/>
                <w:sz w:val="21"/>
                <w:szCs w:val="21"/>
                <w:vertAlign w:val="baseline"/>
                <w:lang w:eastAsia="zh-CN"/>
              </w:rPr>
              <w:t>满足商务要求无偏离，得满分</w:t>
            </w:r>
            <w:r>
              <w:rPr>
                <w:rFonts w:hint="eastAsia" w:ascii="方正楷体_GBK" w:hAnsi="方正楷体_GBK" w:eastAsia="方正楷体_GBK" w:cs="方正楷体_GBK"/>
                <w:sz w:val="21"/>
                <w:szCs w:val="21"/>
                <w:vertAlign w:val="baseline"/>
                <w:lang w:val="en-US" w:eastAsia="zh-CN"/>
              </w:rPr>
              <w:t>10分</w:t>
            </w:r>
            <w:bookmarkEnd w:id="1"/>
          </w:p>
        </w:tc>
      </w:tr>
    </w:tbl>
    <w:p>
      <w:pPr>
        <w:rPr>
          <w:rFonts w:hint="eastAsia" w:ascii="方正楷体_GBK" w:hAnsi="方正楷体_GBK" w:eastAsia="方正楷体_GBK" w:cs="方正楷体_GBK"/>
          <w:sz w:val="32"/>
          <w:szCs w:val="32"/>
          <w:lang w:eastAsia="zh-CN"/>
        </w:rPr>
      </w:pPr>
    </w:p>
    <w:p>
      <w:pPr>
        <w:rPr>
          <w:rFonts w:hint="eastAsia" w:ascii="方正楷体_GBK" w:hAnsi="方正楷体_GBK" w:eastAsia="方正楷体_GBK" w:cs="方正楷体_GBK"/>
          <w:sz w:val="32"/>
          <w:szCs w:val="32"/>
          <w:lang w:eastAsia="zh-CN"/>
        </w:rPr>
      </w:pPr>
    </w:p>
    <w:p>
      <w:pPr>
        <w:rPr>
          <w:rFonts w:hint="eastAsia" w:ascii="方正楷体_GBK" w:hAnsi="方正楷体_GBK" w:eastAsia="方正楷体_GBK" w:cs="方正楷体_GBK"/>
          <w:sz w:val="32"/>
          <w:szCs w:val="32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楷体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